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3FE30">
      <w:pPr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Fonts w:hint="eastAsia"/>
          <w:b/>
          <w:bCs/>
        </w:rPr>
      </w:pPr>
      <w:bookmarkStart w:id="0" w:name="_Toc7179"/>
      <w:bookmarkStart w:id="1" w:name="_Toc1624367956"/>
      <w:bookmarkStart w:id="2" w:name="_Toc470775867"/>
      <w:bookmarkStart w:id="3" w:name="_Toc512442562"/>
    </w:p>
    <w:p w14:paraId="270DAE17">
      <w:pPr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 w14:paraId="5EE7994E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 w14:paraId="64484E7E">
      <w:pPr>
        <w:pStyle w:val="2"/>
        <w:jc w:val="center"/>
        <w:rPr>
          <w:rFonts w:hint="eastAsia"/>
        </w:rPr>
      </w:pPr>
    </w:p>
    <w:p w14:paraId="2D32A5E7">
      <w:pPr>
        <w:pStyle w:val="2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rPr>
          <w:rFonts w:hint="eastAsia" w:ascii="黑体" w:hAnsi="黑体" w:cs="黑体"/>
          <w:b/>
          <w:bCs/>
          <w:sz w:val="72"/>
          <w:szCs w:val="72"/>
          <w:lang w:val="en-US" w:eastAsia="zh-CN"/>
        </w:rPr>
      </w:pPr>
      <w:r>
        <w:rPr>
          <w:rFonts w:hint="eastAsia" w:ascii="黑体" w:hAnsi="黑体" w:cs="黑体"/>
          <w:b/>
          <w:bCs/>
          <w:sz w:val="72"/>
          <w:szCs w:val="72"/>
          <w:lang w:val="en-US" w:eastAsia="zh-CN"/>
        </w:rPr>
        <w:t>新疆互联互通版实体CA</w:t>
      </w:r>
    </w:p>
    <w:p w14:paraId="22ECFC94">
      <w:pPr>
        <w:pStyle w:val="2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黑体" w:hAnsi="黑体" w:cs="黑体"/>
          <w:b/>
          <w:bCs/>
          <w:sz w:val="72"/>
          <w:szCs w:val="72"/>
          <w:lang w:val="en-US" w:eastAsia="zh-CN"/>
        </w:rPr>
        <w:t>操作手册</w:t>
      </w:r>
    </w:p>
    <w:p w14:paraId="3125B935">
      <w:pPr>
        <w:pStyle w:val="2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7C33B515">
      <w:pPr>
        <w:pStyle w:val="2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172035C3">
      <w:pPr>
        <w:pStyle w:val="2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0F1F9C5D">
      <w:pPr>
        <w:pStyle w:val="2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66930B68">
      <w:pPr>
        <w:pStyle w:val="17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54D917F6">
      <w:pPr>
        <w:pStyle w:val="17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47D00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center"/>
        <w:textAlignment w:val="baseline"/>
        <w:rPr>
          <w:rFonts w:hint="default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25日</w:t>
      </w:r>
    </w:p>
    <w:p w14:paraId="2EC3A1BC">
      <w:pPr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</w:p>
    <w:p w14:paraId="38BEB9DB">
      <w:pPr>
        <w:pStyle w:val="2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sectPr>
          <w:headerReference r:id="rId6" w:type="first"/>
          <w:headerReference r:id="rId5" w:type="default"/>
          <w:footerReference r:id="rId7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titlePg/>
        </w:sectPr>
      </w:pPr>
    </w:p>
    <w:sdt>
      <w:sdtPr>
        <w:rPr>
          <w:rFonts w:hint="eastAsia" w:ascii="仿宋" w:hAnsi="仿宋" w:eastAsia="仿宋" w:cs="仿宋"/>
          <w:kern w:val="24"/>
          <w:sz w:val="28"/>
          <w:szCs w:val="28"/>
          <w:lang w:val="en-US" w:eastAsia="zh-CN" w:bidi="ar-SA"/>
        </w:rPr>
        <w:id w:val="147475403"/>
        <w15:color w:val="DBDBDB"/>
        <w:docPartObj>
          <w:docPartGallery w:val="Table of Contents"/>
          <w:docPartUnique/>
        </w:docPartObj>
      </w:sdtPr>
      <w:sdtEndPr>
        <w:rPr>
          <w:rFonts w:hint="eastAsia" w:ascii="仿宋" w:hAnsi="仿宋" w:eastAsia="仿宋" w:cs="仿宋"/>
          <w:kern w:val="24"/>
          <w:sz w:val="32"/>
          <w:szCs w:val="32"/>
          <w:highlight w:val="none"/>
          <w:lang w:val="en-US" w:eastAsia="zh-CN" w:bidi="ar-SA"/>
        </w:rPr>
      </w:sdtEndPr>
      <w:sdtContent>
        <w:p w14:paraId="401B24DC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/>
            <w:spacing w:before="0" w:after="0" w:afterLines="0" w:line="560" w:lineRule="exact"/>
            <w:ind w:left="0" w:leftChars="0" w:right="0" w:rightChars="0" w:firstLine="0" w:firstLineChars="0"/>
            <w:jc w:val="center"/>
            <w:textAlignment w:val="baseline"/>
            <w:rPr>
              <w:rFonts w:hint="eastAsia" w:ascii="仿宋" w:hAnsi="仿宋" w:eastAsia="仿宋" w:cs="仿宋"/>
              <w:b w:val="0"/>
              <w:bCs w:val="0"/>
              <w:sz w:val="28"/>
              <w:szCs w:val="28"/>
            </w:rPr>
          </w:pPr>
          <w:r>
            <w:rPr>
              <w:rFonts w:hint="eastAsia" w:ascii="仿宋" w:hAnsi="仿宋" w:eastAsia="仿宋" w:cs="仿宋"/>
              <w:b w:val="0"/>
              <w:bCs w:val="0"/>
              <w:sz w:val="28"/>
              <w:szCs w:val="28"/>
            </w:rPr>
            <w:t>目</w:t>
          </w:r>
          <w:r>
            <w:rPr>
              <w:rFonts w:hint="eastAsia" w:ascii="仿宋" w:hAnsi="仿宋" w:eastAsia="仿宋" w:cs="仿宋"/>
              <w:b w:val="0"/>
              <w:bCs w:val="0"/>
              <w:sz w:val="28"/>
              <w:szCs w:val="28"/>
              <w:lang w:val="en-US" w:eastAsia="zh-CN"/>
            </w:rPr>
            <w:t xml:space="preserve">  </w:t>
          </w:r>
          <w:r>
            <w:rPr>
              <w:rFonts w:hint="eastAsia" w:ascii="仿宋" w:hAnsi="仿宋" w:eastAsia="仿宋" w:cs="仿宋"/>
              <w:b w:val="0"/>
              <w:bCs w:val="0"/>
              <w:sz w:val="28"/>
              <w:szCs w:val="28"/>
            </w:rPr>
            <w:t>录</w:t>
          </w:r>
        </w:p>
        <w:p w14:paraId="74CF2BD1">
          <w:pPr>
            <w:pStyle w:val="10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 w:val="0"/>
              <w:bCs w:val="0"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28"/>
              <w:szCs w:val="28"/>
              <w:highlight w:val="none"/>
            </w:rPr>
            <w:instrText xml:space="preserve">TOC \o "1-3" \h \u </w:instrText>
          </w:r>
          <w:r>
            <w:rPr>
              <w:rFonts w:hint="eastAsia" w:ascii="仿宋" w:hAnsi="仿宋" w:eastAsia="仿宋" w:cs="仿宋"/>
              <w:b w:val="0"/>
              <w:bCs w:val="0"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_Toc30902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  <w:lang w:val="en-US" w:eastAsia="zh-CN"/>
            </w:rPr>
            <w:t xml:space="preserve">1. </w:t>
          </w:r>
          <w:r>
            <w:rPr>
              <w:rFonts w:hint="eastAsia" w:ascii="仿宋" w:hAnsi="仿宋" w:eastAsia="仿宋" w:cs="仿宋"/>
              <w:szCs w:val="28"/>
              <w:lang w:val="en-US" w:eastAsia="zh-CN"/>
            </w:rPr>
            <w:t>登录说明</w:t>
          </w:r>
          <w:r>
            <w:tab/>
          </w:r>
          <w:r>
            <w:fldChar w:fldCharType="begin"/>
          </w:r>
          <w:r>
            <w:instrText xml:space="preserve"> PAGEREF _Toc30902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0405F4CF"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_Toc12399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kern w:val="24"/>
              <w:szCs w:val="28"/>
              <w:lang w:val="en-US" w:eastAsia="zh-CN" w:bidi="ar-SA"/>
            </w:rPr>
            <w:t xml:space="preserve">1.1. </w:t>
          </w:r>
          <w:r>
            <w:rPr>
              <w:rFonts w:hint="eastAsia" w:ascii="仿宋" w:hAnsi="仿宋" w:eastAsia="仿宋" w:cs="仿宋"/>
              <w:szCs w:val="28"/>
              <w:lang w:val="en-US" w:eastAsia="zh-CN"/>
            </w:rPr>
            <w:t>登录方式</w:t>
          </w:r>
          <w:r>
            <w:tab/>
          </w:r>
          <w:r>
            <w:fldChar w:fldCharType="begin"/>
          </w:r>
          <w:r>
            <w:instrText xml:space="preserve"> PAGEREF _Toc12399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3DA7B444"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_Toc2128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kern w:val="24"/>
              <w:szCs w:val="28"/>
              <w:lang w:val="en-US" w:eastAsia="zh-CN" w:bidi="ar-SA"/>
            </w:rPr>
            <w:t xml:space="preserve">1.2. </w:t>
          </w:r>
          <w:r>
            <w:rPr>
              <w:rFonts w:hint="eastAsia" w:ascii="仿宋" w:hAnsi="仿宋" w:eastAsia="仿宋" w:cs="仿宋"/>
              <w:bCs w:val="0"/>
              <w:kern w:val="24"/>
              <w:szCs w:val="28"/>
              <w:highlight w:val="none"/>
              <w:lang w:val="en-US" w:eastAsia="zh-CN" w:bidi="ar-SA"/>
            </w:rPr>
            <w:t>注意事项</w:t>
          </w:r>
          <w:r>
            <w:tab/>
          </w:r>
          <w:r>
            <w:fldChar w:fldCharType="begin"/>
          </w:r>
          <w:r>
            <w:instrText xml:space="preserve"> PAGEREF _Toc2128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72B408AB"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_Toc1148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kern w:val="24"/>
              <w:szCs w:val="28"/>
              <w:lang w:val="en-US" w:eastAsia="zh-CN" w:bidi="ar-SA"/>
            </w:rPr>
            <w:t xml:space="preserve">1.3. </w:t>
          </w:r>
          <w:r>
            <w:rPr>
              <w:rFonts w:hint="eastAsia" w:ascii="仿宋" w:hAnsi="仿宋" w:eastAsia="仿宋" w:cs="仿宋"/>
              <w:bCs w:val="0"/>
              <w:kern w:val="24"/>
              <w:szCs w:val="28"/>
              <w:highlight w:val="none"/>
              <w:lang w:val="en-US" w:eastAsia="zh-CN" w:bidi="ar-SA"/>
            </w:rPr>
            <w:t>问题联系方式</w:t>
          </w:r>
          <w:r>
            <w:tab/>
          </w:r>
          <w:r>
            <w:fldChar w:fldCharType="begin"/>
          </w:r>
          <w:r>
            <w:instrText xml:space="preserve"> PAGEREF _Toc1148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2E1E883E">
          <w:pPr>
            <w:pStyle w:val="10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_Toc16832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  <w:lang w:val="en-US" w:eastAsia="zh-CN"/>
            </w:rPr>
            <w:t xml:space="preserve">2. </w:t>
          </w:r>
          <w:r>
            <w:rPr>
              <w:rFonts w:hint="eastAsia" w:ascii="仿宋" w:hAnsi="仿宋" w:eastAsia="仿宋" w:cs="仿宋"/>
              <w:szCs w:val="28"/>
              <w:lang w:val="en-US" w:eastAsia="zh-CN"/>
            </w:rPr>
            <w:t>登录方式一</w:t>
          </w:r>
          <w:r>
            <w:tab/>
          </w:r>
          <w:r>
            <w:fldChar w:fldCharType="begin"/>
          </w:r>
          <w:r>
            <w:instrText xml:space="preserve"> PAGEREF _Toc16832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09E9873D"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_Toc32013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</w:rPr>
            <w:t xml:space="preserve">2.1. </w:t>
          </w:r>
          <w:r>
            <w:rPr>
              <w:rFonts w:hint="eastAsia" w:ascii="仿宋" w:hAnsi="仿宋" w:eastAsia="仿宋" w:cs="仿宋"/>
              <w:szCs w:val="28"/>
            </w:rPr>
            <w:t>登录</w:t>
          </w:r>
          <w:r>
            <w:rPr>
              <w:rFonts w:hint="eastAsia" w:ascii="仿宋" w:hAnsi="仿宋" w:eastAsia="仿宋" w:cs="仿宋"/>
              <w:szCs w:val="28"/>
              <w:lang w:val="en-US" w:eastAsia="zh-CN"/>
            </w:rPr>
            <w:t>全疆CA互认</w:t>
          </w:r>
          <w:r>
            <w:rPr>
              <w:rFonts w:hint="eastAsia" w:ascii="仿宋" w:hAnsi="仿宋" w:eastAsia="仿宋" w:cs="仿宋"/>
              <w:szCs w:val="28"/>
            </w:rPr>
            <w:t>平台</w:t>
          </w:r>
          <w:r>
            <w:tab/>
          </w:r>
          <w:r>
            <w:fldChar w:fldCharType="begin"/>
          </w:r>
          <w:r>
            <w:instrText xml:space="preserve"> PAGEREF _Toc32013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4D67110D">
          <w:pPr>
            <w:pStyle w:val="7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_Toc6280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</w:rPr>
            <w:t xml:space="preserve">2.1.1. </w:t>
          </w:r>
          <w:r>
            <w:rPr>
              <w:rFonts w:hint="eastAsia" w:ascii="仿宋" w:hAnsi="仿宋" w:eastAsia="仿宋" w:cs="仿宋"/>
              <w:szCs w:val="28"/>
            </w:rPr>
            <w:t>证书登录</w:t>
          </w:r>
          <w:r>
            <w:tab/>
          </w:r>
          <w:r>
            <w:fldChar w:fldCharType="begin"/>
          </w:r>
          <w:r>
            <w:instrText xml:space="preserve"> PAGEREF _Toc6280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1EF38473">
          <w:pPr>
            <w:pStyle w:val="7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_Toc10721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</w:rPr>
            <w:t xml:space="preserve">2.1.2. </w:t>
          </w:r>
          <w:r>
            <w:rPr>
              <w:rFonts w:hint="eastAsia" w:ascii="仿宋" w:hAnsi="仿宋" w:eastAsia="仿宋" w:cs="仿宋"/>
              <w:szCs w:val="28"/>
            </w:rPr>
            <w:t>账号登录</w:t>
          </w:r>
          <w:r>
            <w:tab/>
          </w:r>
          <w:r>
            <w:fldChar w:fldCharType="begin"/>
          </w:r>
          <w:r>
            <w:instrText xml:space="preserve"> PAGEREF _Toc10721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0325C415"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_Toc9899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</w:rPr>
            <w:t xml:space="preserve">2.2. </w:t>
          </w:r>
          <w:r>
            <w:rPr>
              <w:rFonts w:hint="eastAsia" w:ascii="仿宋" w:hAnsi="仿宋" w:eastAsia="仿宋" w:cs="仿宋"/>
              <w:szCs w:val="28"/>
            </w:rPr>
            <w:t>平台首页</w:t>
          </w:r>
          <w:r>
            <w:tab/>
          </w:r>
          <w:r>
            <w:fldChar w:fldCharType="begin"/>
          </w:r>
          <w:r>
            <w:instrText xml:space="preserve"> PAGEREF _Toc9899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0D56E1E2"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_Toc18751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  <w:lang w:val="en-US" w:eastAsia="zh-CN"/>
            </w:rPr>
            <w:t xml:space="preserve">2.3. </w:t>
          </w:r>
          <w:r>
            <w:rPr>
              <w:rFonts w:hint="eastAsia" w:ascii="仿宋" w:hAnsi="仿宋" w:eastAsia="仿宋" w:cs="仿宋"/>
              <w:szCs w:val="28"/>
              <w:lang w:val="en-US" w:eastAsia="zh-CN"/>
            </w:rPr>
            <w:t>个人证书</w:t>
          </w:r>
          <w:r>
            <w:tab/>
          </w:r>
          <w:r>
            <w:fldChar w:fldCharType="begin"/>
          </w:r>
          <w:r>
            <w:instrText xml:space="preserve"> PAGEREF _Toc18751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32FA8EEA"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_Toc21591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</w:rPr>
            <w:t xml:space="preserve">2.4. </w:t>
          </w:r>
          <w:r>
            <w:rPr>
              <w:rFonts w:hint="eastAsia" w:ascii="仿宋" w:hAnsi="仿宋" w:eastAsia="仿宋" w:cs="仿宋"/>
              <w:szCs w:val="28"/>
              <w:lang w:val="en-US" w:eastAsia="zh-CN"/>
            </w:rPr>
            <w:t>退出登录</w:t>
          </w:r>
          <w:r>
            <w:tab/>
          </w:r>
          <w:r>
            <w:fldChar w:fldCharType="begin"/>
          </w:r>
          <w:r>
            <w:instrText xml:space="preserve"> PAGEREF _Toc21591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33179E17"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_Toc24961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  <w:lang w:val="en-US" w:eastAsia="zh-CN"/>
            </w:rPr>
            <w:t xml:space="preserve">2.5. </w:t>
          </w:r>
          <w:r>
            <w:rPr>
              <w:rFonts w:hint="eastAsia" w:ascii="仿宋" w:hAnsi="仿宋" w:eastAsia="仿宋" w:cs="仿宋"/>
              <w:szCs w:val="28"/>
              <w:lang w:val="en-US" w:eastAsia="zh-CN"/>
            </w:rPr>
            <w:t>通知公告</w:t>
          </w:r>
          <w:r>
            <w:tab/>
          </w:r>
          <w:r>
            <w:fldChar w:fldCharType="begin"/>
          </w:r>
          <w:r>
            <w:instrText xml:space="preserve"> PAGEREF _Toc24961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3EB95A4E"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_Toc23010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  <w:lang w:val="en-US" w:eastAsia="zh-CN"/>
            </w:rPr>
            <w:t xml:space="preserve">2.6. </w:t>
          </w:r>
          <w:r>
            <w:rPr>
              <w:rFonts w:hint="eastAsia" w:ascii="仿宋" w:hAnsi="仿宋" w:eastAsia="仿宋" w:cs="仿宋"/>
              <w:szCs w:val="28"/>
              <w:lang w:val="en-US" w:eastAsia="zh-CN"/>
            </w:rPr>
            <w:t>驱动下载</w:t>
          </w:r>
          <w:r>
            <w:tab/>
          </w:r>
          <w:r>
            <w:fldChar w:fldCharType="begin"/>
          </w:r>
          <w:r>
            <w:instrText xml:space="preserve"> PAGEREF _Toc23010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6783A03F"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_Toc20376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  <w:lang w:val="en-US" w:eastAsia="zh-CN"/>
            </w:rPr>
            <w:t xml:space="preserve">2.7. </w:t>
          </w:r>
          <w:r>
            <w:rPr>
              <w:rFonts w:hint="eastAsia" w:ascii="仿宋" w:hAnsi="仿宋" w:eastAsia="仿宋" w:cs="仿宋"/>
              <w:szCs w:val="28"/>
              <w:lang w:val="en-US" w:eastAsia="zh-CN"/>
            </w:rPr>
            <w:t>进入平台</w:t>
          </w:r>
          <w:r>
            <w:tab/>
          </w:r>
          <w:r>
            <w:fldChar w:fldCharType="begin"/>
          </w:r>
          <w:r>
            <w:instrText xml:space="preserve"> PAGEREF _Toc20376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03C0B0CA">
          <w:pPr>
            <w:pStyle w:val="10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_Toc22170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kern w:val="24"/>
              <w:szCs w:val="28"/>
              <w:lang w:val="en-US" w:eastAsia="zh-CN" w:bidi="ar-SA"/>
            </w:rPr>
            <w:t xml:space="preserve">3. </w:t>
          </w:r>
          <w:r>
            <w:rPr>
              <w:rFonts w:hint="eastAsia" w:ascii="仿宋" w:hAnsi="仿宋" w:eastAsia="仿宋" w:cs="仿宋"/>
              <w:bCs/>
              <w:kern w:val="24"/>
              <w:szCs w:val="28"/>
              <w:lang w:val="en-US" w:eastAsia="zh-CN" w:bidi="ar-SA"/>
            </w:rPr>
            <w:t>登录方式二</w:t>
          </w:r>
          <w:r>
            <w:tab/>
          </w:r>
          <w:r>
            <w:fldChar w:fldCharType="begin"/>
          </w:r>
          <w:r>
            <w:instrText xml:space="preserve"> PAGEREF _Toc22170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77F4110D"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_Toc15128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</w:rPr>
            <w:t xml:space="preserve">3.1. </w:t>
          </w:r>
          <w:r>
            <w:rPr>
              <w:rFonts w:hint="eastAsia" w:ascii="仿宋" w:hAnsi="仿宋" w:eastAsia="仿宋" w:cs="仿宋"/>
              <w:szCs w:val="28"/>
            </w:rPr>
            <w:t>登录</w:t>
          </w:r>
          <w:r>
            <w:rPr>
              <w:rFonts w:hint="eastAsia" w:ascii="仿宋" w:hAnsi="仿宋" w:eastAsia="仿宋" w:cs="仿宋"/>
              <w:szCs w:val="28"/>
              <w:lang w:val="en-US" w:eastAsia="zh-CN"/>
            </w:rPr>
            <w:t>各级公共资源交易平台</w:t>
          </w:r>
          <w:r>
            <w:tab/>
          </w:r>
          <w:r>
            <w:fldChar w:fldCharType="begin"/>
          </w:r>
          <w:r>
            <w:instrText xml:space="preserve"> PAGEREF _Toc15128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647142C9"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_Toc19263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</w:rPr>
            <w:t xml:space="preserve">3.2. </w:t>
          </w:r>
          <w:r>
            <w:rPr>
              <w:rFonts w:hint="eastAsia" w:ascii="仿宋" w:hAnsi="仿宋" w:eastAsia="仿宋" w:cs="仿宋"/>
              <w:szCs w:val="28"/>
            </w:rPr>
            <w:t>准备工作</w:t>
          </w:r>
          <w:r>
            <w:tab/>
          </w:r>
          <w:r>
            <w:fldChar w:fldCharType="begin"/>
          </w:r>
          <w:r>
            <w:instrText xml:space="preserve"> PAGEREF _Toc19263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1880A793">
          <w:pPr>
            <w:pStyle w:val="7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_Toc9046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  <w:lang w:val="en-US" w:eastAsia="zh-CN"/>
            </w:rPr>
            <w:t xml:space="preserve">3.2.1. </w:t>
          </w:r>
          <w:r>
            <w:rPr>
              <w:rFonts w:hint="eastAsia" w:cs="Times New Roman"/>
              <w:szCs w:val="28"/>
              <w:lang w:val="en-US" w:eastAsia="zh-CN"/>
            </w:rPr>
            <w:t>系统软硬件要求</w:t>
          </w:r>
          <w:r>
            <w:tab/>
          </w:r>
          <w:r>
            <w:fldChar w:fldCharType="begin"/>
          </w:r>
          <w:r>
            <w:instrText xml:space="preserve"> PAGEREF _Toc9046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6B3693AD">
          <w:pPr>
            <w:pStyle w:val="7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_Toc32029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kern w:val="24"/>
              <w:szCs w:val="28"/>
              <w:lang w:val="en-US" w:eastAsia="zh-CN" w:bidi="ar-SA"/>
            </w:rPr>
            <w:t xml:space="preserve">3.2.2. </w:t>
          </w:r>
          <w:r>
            <w:rPr>
              <w:rFonts w:hint="eastAsia" w:ascii="Tahoma" w:hAnsi="Tahoma" w:eastAsia="宋体" w:cs="Times New Roman"/>
              <w:bCs/>
              <w:kern w:val="24"/>
              <w:szCs w:val="28"/>
              <w:lang w:val="en-US" w:eastAsia="zh-CN" w:bidi="ar-SA"/>
            </w:rPr>
            <w:t>兼容性视图</w:t>
          </w:r>
          <w:r>
            <w:tab/>
          </w:r>
          <w:r>
            <w:fldChar w:fldCharType="begin"/>
          </w:r>
          <w:r>
            <w:instrText xml:space="preserve"> PAGEREF _Toc32029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060FD6B8">
          <w:pPr>
            <w:pStyle w:val="7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_Toc5773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kern w:val="24"/>
              <w:szCs w:val="28"/>
              <w:lang w:val="en-US" w:eastAsia="zh-CN" w:bidi="ar-SA"/>
            </w:rPr>
            <w:t xml:space="preserve">3.2.3. </w:t>
          </w:r>
          <w:r>
            <w:rPr>
              <w:rFonts w:hint="eastAsia" w:ascii="Tahoma" w:hAnsi="Tahoma" w:eastAsia="宋体" w:cs="Times New Roman"/>
              <w:bCs/>
              <w:kern w:val="24"/>
              <w:szCs w:val="28"/>
              <w:lang w:val="en-US" w:eastAsia="zh-CN" w:bidi="ar-SA"/>
            </w:rPr>
            <w:t>可信任站点</w:t>
          </w:r>
          <w:r>
            <w:tab/>
          </w:r>
          <w:r>
            <w:fldChar w:fldCharType="begin"/>
          </w:r>
          <w:r>
            <w:instrText xml:space="preserve"> PAGEREF _Toc5773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117B86BC">
          <w:pPr>
            <w:pStyle w:val="7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_Toc12064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kern w:val="24"/>
              <w:szCs w:val="28"/>
              <w:lang w:val="en-US" w:eastAsia="zh-CN" w:bidi="ar-SA"/>
            </w:rPr>
            <w:t xml:space="preserve">3.2.4. </w:t>
          </w:r>
          <w:r>
            <w:rPr>
              <w:rFonts w:hint="eastAsia" w:ascii="Tahoma" w:hAnsi="Tahoma" w:eastAsia="宋体" w:cs="Times New Roman"/>
              <w:bCs w:val="0"/>
              <w:kern w:val="24"/>
              <w:szCs w:val="28"/>
              <w:lang w:val="en-US" w:eastAsia="zh-CN" w:bidi="ar-SA"/>
            </w:rPr>
            <w:t xml:space="preserve">activeX </w:t>
          </w:r>
          <w:r>
            <w:rPr>
              <w:rFonts w:hint="eastAsia" w:ascii="Tahoma" w:hAnsi="Tahoma" w:eastAsia="宋体" w:cs="Times New Roman"/>
              <w:bCs/>
              <w:kern w:val="24"/>
              <w:szCs w:val="28"/>
              <w:lang w:val="en-US" w:eastAsia="zh-CN" w:bidi="ar-SA"/>
            </w:rPr>
            <w:t>控件</w:t>
          </w:r>
          <w:r>
            <w:tab/>
          </w:r>
          <w:r>
            <w:fldChar w:fldCharType="begin"/>
          </w:r>
          <w:r>
            <w:instrText xml:space="preserve"> PAGEREF _Toc12064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0F021A83"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_Toc27440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kern w:val="24"/>
              <w:szCs w:val="28"/>
              <w:lang w:val="en-US" w:eastAsia="zh-CN" w:bidi="ar-SA"/>
            </w:rPr>
            <w:t xml:space="preserve">3.3. </w:t>
          </w:r>
          <w:r>
            <w:rPr>
              <w:rFonts w:hint="eastAsia" w:ascii="仿宋" w:hAnsi="仿宋" w:eastAsia="仿宋" w:cs="仿宋"/>
              <w:bCs/>
              <w:kern w:val="24"/>
              <w:szCs w:val="28"/>
              <w:lang w:val="en-US" w:eastAsia="zh-CN" w:bidi="ar-SA"/>
            </w:rPr>
            <w:t>驱动安装说明</w:t>
          </w:r>
          <w:r>
            <w:tab/>
          </w:r>
          <w:r>
            <w:fldChar w:fldCharType="begin"/>
          </w:r>
          <w:r>
            <w:instrText xml:space="preserve"> PAGEREF _Toc27440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4B7B6E49"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_Toc18519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kern w:val="24"/>
              <w:szCs w:val="28"/>
              <w:lang w:val="en-US" w:eastAsia="zh-CN" w:bidi="ar-SA"/>
            </w:rPr>
            <w:t xml:space="preserve">3.4. </w:t>
          </w:r>
          <w:r>
            <w:rPr>
              <w:rFonts w:hint="eastAsia" w:ascii="仿宋" w:hAnsi="仿宋" w:eastAsia="仿宋" w:cs="仿宋"/>
              <w:bCs/>
              <w:kern w:val="24"/>
              <w:szCs w:val="28"/>
              <w:lang w:val="en-US" w:eastAsia="zh-CN" w:bidi="ar-SA"/>
            </w:rPr>
            <w:t>注册登陆</w:t>
          </w:r>
          <w:r>
            <w:tab/>
          </w:r>
          <w:r>
            <w:fldChar w:fldCharType="begin"/>
          </w:r>
          <w:r>
            <w:instrText xml:space="preserve"> PAGEREF _Toc18519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 w14:paraId="13DD6BA5">
          <w:pPr>
            <w:pStyle w:val="10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/>
            <w:spacing w:line="560" w:lineRule="exact"/>
            <w:textAlignment w:val="baseline"/>
            <w:rPr>
              <w:rFonts w:hint="eastAsia" w:ascii="仿宋" w:hAnsi="仿宋" w:eastAsia="仿宋" w:cs="仿宋"/>
              <w:sz w:val="32"/>
              <w:szCs w:val="32"/>
              <w:highlight w:val="none"/>
            </w:rPr>
            <w:sectPr>
              <w:footerReference r:id="rId8" w:type="default"/>
              <w:pgSz w:w="11906" w:h="16838"/>
              <w:pgMar w:top="1440" w:right="1800" w:bottom="1440" w:left="1800" w:header="851" w:footer="992" w:gutter="0"/>
              <w:pgNumType w:start="1"/>
              <w:cols w:space="720" w:num="1"/>
            </w:sectPr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</w:sdtContent>
    </w:sdt>
    <w:bookmarkEnd w:id="0"/>
    <w:bookmarkEnd w:id="1"/>
    <w:bookmarkEnd w:id="2"/>
    <w:bookmarkEnd w:id="3"/>
    <w:p w14:paraId="12D62E66">
      <w:pPr>
        <w:pStyle w:val="3"/>
        <w:keepNext/>
        <w:keepLines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0" w:firstLine="0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4" w:name="_Toc30902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登录说明</w:t>
      </w:r>
      <w:bookmarkEnd w:id="4"/>
    </w:p>
    <w:p w14:paraId="34498FAD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0" w:firstLine="0"/>
        <w:textAlignment w:val="baseline"/>
        <w:rPr>
          <w:rFonts w:hint="eastAsia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</w:pPr>
      <w:bookmarkStart w:id="5" w:name="_Toc12399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登录方式</w:t>
      </w:r>
      <w:bookmarkEnd w:id="5"/>
    </w:p>
    <w:p w14:paraId="6A96C4ED">
      <w:pPr>
        <w:ind w:firstLine="560" w:firstLineChars="200"/>
        <w:rPr>
          <w:rFonts w:hint="eastAsia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  <w:t>交易主体选择CA机构办理并激活实体CA锁后，即可在自治区本级、14个地（州、市）公共资源交易平台开展业务，即通过一套CA完成全疆范围内各级交易平台公共资源交易业务。</w:t>
      </w:r>
    </w:p>
    <w:p w14:paraId="15CD6D3D">
      <w:pPr>
        <w:ind w:firstLine="560" w:firstLineChars="200"/>
        <w:rPr>
          <w:rFonts w:hint="default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  <w:t>开展业务时可以通过以下两种方式登录自治区、地（州、市）两级交易平台：</w:t>
      </w:r>
    </w:p>
    <w:p w14:paraId="36462C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/>
        <w:textAlignment w:val="baseline"/>
        <w:rPr>
          <w:rFonts w:hint="default" w:ascii="仿宋" w:hAnsi="仿宋" w:eastAsia="仿宋" w:cs="仿宋"/>
          <w:b/>
          <w:bCs/>
          <w:color w:val="FF0000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4"/>
          <w:sz w:val="28"/>
          <w:szCs w:val="28"/>
          <w:highlight w:val="none"/>
          <w:lang w:val="en-US" w:eastAsia="zh-CN" w:bidi="ar-SA"/>
        </w:rPr>
        <w:t>登录方式一：先登录自治区CA证书和电子签章互认平台（https://sign.silksign.cn:30080），从平台中快捷跳转全疆各级交易平台。</w:t>
      </w:r>
    </w:p>
    <w:p w14:paraId="3FD7A97C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/>
        <w:textAlignment w:val="baseline"/>
        <w:rPr>
          <w:rFonts w:hint="eastAsia" w:ascii="仿宋" w:hAnsi="仿宋" w:eastAsia="仿宋" w:cs="仿宋"/>
          <w:b/>
          <w:bCs/>
          <w:color w:val="FF0000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4"/>
          <w:sz w:val="28"/>
          <w:szCs w:val="28"/>
          <w:highlight w:val="none"/>
          <w:lang w:val="en-US" w:eastAsia="zh-CN" w:bidi="ar-SA"/>
        </w:rPr>
        <w:t>登录方式二：直接进入全疆各级交易平台。</w:t>
      </w:r>
    </w:p>
    <w:p w14:paraId="3297D7E5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575" w:hanging="575"/>
        <w:textAlignment w:val="baseline"/>
        <w:rPr>
          <w:rFonts w:hint="eastAsia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</w:pPr>
      <w:bookmarkStart w:id="6" w:name="_Toc2128"/>
      <w:r>
        <w:rPr>
          <w:rFonts w:hint="eastAsia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  <w:t>注意事项</w:t>
      </w:r>
      <w:bookmarkEnd w:id="6"/>
    </w:p>
    <w:p w14:paraId="115601CF">
      <w:pPr>
        <w:pStyle w:val="2"/>
        <w:ind w:firstLine="560" w:firstLineChars="200"/>
        <w:rPr>
          <w:rFonts w:hint="eastAsia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  <w:t>通过实体CA锁登录自治区CA互认平台或自治区、地（州、市）两级交易平台，均需要下载安装新疆互联互通版CA驱动，进入交易平台时还需配置电脑浏览器（IE浏览器或EDG浏览器的IE模式），避免无法读取CA锁。</w:t>
      </w:r>
    </w:p>
    <w:p w14:paraId="485B2F4D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575" w:hanging="575"/>
        <w:textAlignment w:val="baseline"/>
        <w:rPr>
          <w:rFonts w:hint="eastAsia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</w:pPr>
      <w:bookmarkStart w:id="7" w:name="_Toc1148"/>
      <w:r>
        <w:rPr>
          <w:rFonts w:hint="eastAsia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  <w:t>问题联系方式</w:t>
      </w:r>
      <w:bookmarkEnd w:id="7"/>
    </w:p>
    <w:p w14:paraId="3C3CA74A">
      <w:pPr>
        <w:rPr>
          <w:rFonts w:hint="eastAsia"/>
          <w:lang w:val="en-US" w:eastAsia="zh-CN"/>
        </w:rPr>
      </w:pPr>
    </w:p>
    <w:p w14:paraId="43760C12">
      <w:pPr>
        <w:pStyle w:val="2"/>
        <w:ind w:firstLine="723" w:firstLineChars="200"/>
        <w:rPr>
          <w:rFonts w:hint="default" w:ascii="仿宋" w:hAnsi="仿宋" w:eastAsia="仿宋" w:cs="仿宋"/>
          <w:b/>
          <w:bCs/>
          <w:color w:val="FF0000"/>
          <w:kern w:val="24"/>
          <w:sz w:val="36"/>
          <w:szCs w:val="36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4"/>
          <w:sz w:val="36"/>
          <w:szCs w:val="36"/>
          <w:highlight w:val="none"/>
          <w:lang w:val="en-US" w:eastAsia="zh-CN" w:bidi="ar-SA"/>
        </w:rPr>
        <w:t>CA互认平台客服：400-0921-999</w:t>
      </w:r>
    </w:p>
    <w:p w14:paraId="52CC7164">
      <w:pPr>
        <w:pStyle w:val="2"/>
        <w:ind w:firstLine="723" w:firstLineChars="200"/>
        <w:rPr>
          <w:rFonts w:hint="default" w:ascii="仿宋" w:hAnsi="仿宋" w:eastAsia="仿宋" w:cs="仿宋"/>
          <w:b/>
          <w:bCs/>
          <w:color w:val="FF0000"/>
          <w:kern w:val="24"/>
          <w:sz w:val="36"/>
          <w:szCs w:val="36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4"/>
          <w:sz w:val="36"/>
          <w:szCs w:val="36"/>
          <w:highlight w:val="none"/>
          <w:lang w:val="en-US" w:eastAsia="zh-CN" w:bidi="ar-SA"/>
        </w:rPr>
        <w:t>各级交易平台：0512-58188553</w:t>
      </w:r>
      <w:r>
        <w:rPr>
          <w:rFonts w:hint="default" w:ascii="仿宋" w:hAnsi="仿宋" w:eastAsia="仿宋" w:cs="仿宋"/>
          <w:b/>
          <w:bCs/>
          <w:color w:val="FF0000"/>
          <w:kern w:val="24"/>
          <w:sz w:val="36"/>
          <w:szCs w:val="36"/>
          <w:highlight w:val="none"/>
          <w:lang w:val="en-US" w:eastAsia="zh-CN" w:bidi="ar-SA"/>
        </w:rPr>
        <w:t> </w:t>
      </w:r>
    </w:p>
    <w:p w14:paraId="0EBBC962">
      <w:pPr>
        <w:rPr>
          <w:rFonts w:hint="default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  <w:br w:type="page"/>
      </w:r>
    </w:p>
    <w:p w14:paraId="62B6276B">
      <w:pPr>
        <w:pStyle w:val="3"/>
        <w:keepNext/>
        <w:keepLines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0" w:firstLine="0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8" w:name="_Toc16832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登录方式一</w:t>
      </w:r>
      <w:bookmarkEnd w:id="8"/>
    </w:p>
    <w:p w14:paraId="1D131C2D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0" w:firstLine="0"/>
        <w:textAlignment w:val="baseline"/>
        <w:rPr>
          <w:rFonts w:hint="eastAsia" w:ascii="仿宋" w:hAnsi="仿宋" w:eastAsia="仿宋" w:cs="仿宋"/>
          <w:sz w:val="28"/>
          <w:szCs w:val="28"/>
        </w:rPr>
      </w:pPr>
      <w:bookmarkStart w:id="9" w:name="_Toc22800"/>
      <w:bookmarkStart w:id="10" w:name="_Toc32013"/>
      <w:bookmarkStart w:id="11" w:name="_Toc2025470637"/>
      <w:bookmarkStart w:id="12" w:name="_Toc11977"/>
      <w:r>
        <w:rPr>
          <w:rFonts w:hint="eastAsia" w:ascii="仿宋" w:hAnsi="仿宋" w:eastAsia="仿宋" w:cs="仿宋"/>
          <w:sz w:val="28"/>
          <w:szCs w:val="28"/>
        </w:rPr>
        <w:t>登录</w:t>
      </w:r>
      <w:bookmarkEnd w:id="9"/>
      <w:bookmarkEnd w:id="10"/>
      <w:bookmarkEnd w:id="11"/>
      <w:bookmarkEnd w:id="12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自治区CA证书和电子签章互认平台</w:t>
      </w:r>
    </w:p>
    <w:p w14:paraId="7CFFB81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打开浏览器，输入网址（https://sign.silksign.cn:30080），登录CA证书和电子签章互认平台，平台界面如下图所示。</w:t>
      </w:r>
    </w:p>
    <w:p w14:paraId="64F0AFA5">
      <w:pPr>
        <w:pStyle w:val="2"/>
        <w:spacing w:line="240" w:lineRule="auto"/>
        <w:jc w:val="center"/>
        <w:rPr>
          <w:sz w:val="32"/>
          <w:szCs w:val="32"/>
        </w:rPr>
      </w:pPr>
      <w:r>
        <w:drawing>
          <wp:inline distT="0" distB="0" distL="114300" distR="114300">
            <wp:extent cx="5272405" cy="2658745"/>
            <wp:effectExtent l="0" t="0" r="10795" b="825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09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登录界面说明：登录分为证书登录（实体CA登录）、账号密码登录、手机号登录和扫码登录，目前主要使用证书登录。</w:t>
      </w:r>
    </w:p>
    <w:p w14:paraId="3B0BD09D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0" w:firstLine="0"/>
        <w:textAlignment w:val="baseline"/>
        <w:rPr>
          <w:rFonts w:hint="eastAsia" w:ascii="仿宋" w:hAnsi="仿宋" w:eastAsia="仿宋" w:cs="仿宋"/>
          <w:sz w:val="28"/>
          <w:szCs w:val="28"/>
        </w:rPr>
      </w:pPr>
      <w:bookmarkStart w:id="13" w:name="_Toc21706"/>
      <w:bookmarkStart w:id="14" w:name="_Toc6280"/>
      <w:r>
        <w:rPr>
          <w:rFonts w:hint="eastAsia" w:ascii="仿宋" w:hAnsi="仿宋" w:eastAsia="仿宋" w:cs="仿宋"/>
          <w:sz w:val="28"/>
          <w:szCs w:val="28"/>
        </w:rPr>
        <w:t>证书登录</w:t>
      </w:r>
      <w:bookmarkEnd w:id="13"/>
      <w:bookmarkEnd w:id="14"/>
      <w:r>
        <w:rPr>
          <w:rFonts w:hint="eastAsia" w:ascii="仿宋" w:hAnsi="仿宋" w:eastAsia="仿宋" w:cs="仿宋"/>
          <w:sz w:val="28"/>
          <w:szCs w:val="28"/>
        </w:rPr>
        <w:t>（实体CA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登录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0D09F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证书登录前需要下载安装新疆互联互通版CA驱动！</w:t>
      </w:r>
    </w:p>
    <w:p w14:paraId="29981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点击驱动下载或者下方查看下载证书UKey驱动及操作手册</w:t>
      </w:r>
    </w:p>
    <w:p w14:paraId="68EF606C"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8435" cy="2616200"/>
            <wp:effectExtent l="0" t="0" r="18415" b="12700"/>
            <wp:docPr id="3" name="图片 3" descr="1702868495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0286849566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DF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点击后，弹框内点击下载。</w:t>
      </w:r>
    </w:p>
    <w:p w14:paraId="322D1265"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1610" cy="2565400"/>
            <wp:effectExtent l="0" t="0" r="15240" b="6350"/>
            <wp:docPr id="4" name="图片 4" descr="1702868592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0286859222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A9EFB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下载后，打开套件</w:t>
      </w:r>
    </w:p>
    <w:p w14:paraId="4007D118">
      <w:pPr>
        <w:pStyle w:val="2"/>
      </w:pPr>
      <w:r>
        <w:drawing>
          <wp:inline distT="0" distB="0" distL="114300" distR="114300">
            <wp:extent cx="1314450" cy="1181100"/>
            <wp:effectExtent l="0" t="0" r="0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B7954">
      <w:pPr>
        <w:pStyle w:val="2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点击下一步，点击安装。</w:t>
      </w:r>
    </w:p>
    <w:p w14:paraId="180639DE">
      <w:pPr>
        <w:pStyle w:val="2"/>
      </w:pPr>
      <w:r>
        <w:drawing>
          <wp:inline distT="0" distB="0" distL="114300" distR="114300">
            <wp:extent cx="4289425" cy="3342640"/>
            <wp:effectExtent l="0" t="0" r="15875" b="1016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8942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57165" cy="4069715"/>
            <wp:effectExtent l="0" t="0" r="635" b="698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406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8159E">
      <w:pPr>
        <w:pStyle w:val="2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点击下一步。</w:t>
      </w:r>
    </w:p>
    <w:p w14:paraId="09108A5C">
      <w:pPr>
        <w:pStyle w:val="2"/>
      </w:pPr>
      <w:r>
        <w:drawing>
          <wp:inline distT="0" distB="0" distL="114300" distR="114300">
            <wp:extent cx="5272405" cy="4044315"/>
            <wp:effectExtent l="0" t="0" r="4445" b="1333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4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5A4CE">
      <w:pPr>
        <w:pStyle w:val="2"/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等待安装，安装完成后点击完成，打开软件。</w:t>
      </w:r>
    </w:p>
    <w:p w14:paraId="4B588C66">
      <w:pPr>
        <w:pStyle w:val="2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4079240"/>
            <wp:effectExtent l="0" t="0" r="6985" b="16510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07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3134360"/>
            <wp:effectExtent l="0" t="0" r="5080" b="8890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3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D4D5E">
      <w:pPr>
        <w:pStyle w:val="2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插入所需登录证书（U key），左上角可显示出证书，即可正常登录。</w:t>
      </w:r>
    </w:p>
    <w:p w14:paraId="5BF16C52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3145155"/>
            <wp:effectExtent l="0" t="0" r="5080" b="17145"/>
            <wp:docPr id="22" name="图片 22" descr="1702870472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70287047238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FE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进入CA证书和电子签章互认平台，点击证书登陆，显示证书登陆界面，点击加载证书，PIN码输入证书密码，正确输入密码后，点击登录，即可进入CA证书和电子签章互认平台。</w:t>
      </w:r>
      <w:bookmarkStart w:id="37" w:name="_GoBack"/>
      <w:bookmarkEnd w:id="37"/>
    </w:p>
    <w:p w14:paraId="1351F1E1">
      <w:pPr>
        <w:pStyle w:val="16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drawing>
          <wp:inline distT="0" distB="0" distL="114300" distR="114300">
            <wp:extent cx="5272405" cy="2658745"/>
            <wp:effectExtent l="0" t="0" r="10795" b="8255"/>
            <wp:docPr id="7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82396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0" w:firstLine="0"/>
        <w:textAlignment w:val="baseline"/>
        <w:rPr>
          <w:rFonts w:hint="eastAsia" w:ascii="仿宋" w:hAnsi="仿宋" w:eastAsia="仿宋" w:cs="仿宋"/>
          <w:sz w:val="28"/>
          <w:szCs w:val="28"/>
        </w:rPr>
      </w:pPr>
      <w:bookmarkStart w:id="15" w:name="_Toc2662"/>
      <w:bookmarkStart w:id="16" w:name="_Toc10721"/>
      <w:r>
        <w:rPr>
          <w:rFonts w:hint="eastAsia" w:ascii="仿宋" w:hAnsi="仿宋" w:eastAsia="仿宋" w:cs="仿宋"/>
          <w:sz w:val="28"/>
          <w:szCs w:val="28"/>
        </w:rPr>
        <w:t>账号登录</w:t>
      </w:r>
      <w:bookmarkEnd w:id="15"/>
      <w:bookmarkEnd w:id="16"/>
    </w:p>
    <w:p w14:paraId="3EFFB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点击账号密码，显示账号密码登录界面，正确输入账号及密码，点击登录即可。</w:t>
      </w:r>
    </w:p>
    <w:p w14:paraId="76B575FD">
      <w:pPr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 w:ascii="仿宋" w:hAnsi="仿宋" w:eastAsia="仿宋" w:cs="仿宋"/>
          <w:sz w:val="32"/>
          <w:szCs w:val="32"/>
        </w:rPr>
      </w:pPr>
      <w:r>
        <w:drawing>
          <wp:inline distT="0" distB="0" distL="114300" distR="114300">
            <wp:extent cx="5272405" cy="2658745"/>
            <wp:effectExtent l="0" t="0" r="10795" b="8255"/>
            <wp:docPr id="7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8F221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0" w:firstLine="0"/>
        <w:textAlignment w:val="baseline"/>
        <w:rPr>
          <w:rFonts w:hint="eastAsia" w:ascii="仿宋" w:hAnsi="仿宋" w:eastAsia="仿宋" w:cs="仿宋"/>
          <w:sz w:val="28"/>
          <w:szCs w:val="28"/>
        </w:rPr>
      </w:pPr>
      <w:bookmarkStart w:id="17" w:name="_Toc174223815"/>
      <w:bookmarkStart w:id="18" w:name="_Toc32418"/>
      <w:bookmarkStart w:id="19" w:name="_Toc9899"/>
      <w:bookmarkStart w:id="20" w:name="_Toc12776"/>
      <w:r>
        <w:rPr>
          <w:rFonts w:hint="eastAsia" w:ascii="仿宋" w:hAnsi="仿宋" w:eastAsia="仿宋" w:cs="仿宋"/>
          <w:sz w:val="28"/>
          <w:szCs w:val="28"/>
        </w:rPr>
        <w:t>平台首页</w:t>
      </w:r>
      <w:bookmarkEnd w:id="17"/>
      <w:bookmarkEnd w:id="18"/>
      <w:bookmarkEnd w:id="19"/>
      <w:bookmarkEnd w:id="20"/>
    </w:p>
    <w:p w14:paraId="57B35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登陆成功后，即进入平台首页，此页面为单点应用集合所有应用入口，只需要点击即可进入相应的交易平台。</w:t>
      </w:r>
    </w:p>
    <w:p w14:paraId="0414E7F6">
      <w:pPr>
        <w:pStyle w:val="16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firstLine="0" w:firstLineChars="0"/>
        <w:jc w:val="center"/>
        <w:rPr>
          <w:rFonts w:hint="eastAsia" w:ascii="仿宋" w:hAnsi="仿宋" w:eastAsia="仿宋" w:cs="仿宋"/>
          <w:sz w:val="32"/>
          <w:szCs w:val="32"/>
        </w:rPr>
      </w:pPr>
      <w:r>
        <w:drawing>
          <wp:inline distT="0" distB="0" distL="114300" distR="114300">
            <wp:extent cx="5272405" cy="2658745"/>
            <wp:effectExtent l="0" t="0" r="10795" b="825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D6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平台界面首页功能说明：</w:t>
      </w:r>
    </w:p>
    <w:p w14:paraId="0D136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点击各公共资源交易平台图标，可进入对应的公共资源交易业务系统（或主体信息完善界面）。也可点击上方搜索框，从显示下拉列表选择交易平台。</w:t>
      </w:r>
    </w:p>
    <w:p w14:paraId="28D321E0">
      <w:pPr>
        <w:pStyle w:val="2"/>
        <w:spacing w:line="240" w:lineRule="auto"/>
      </w:pPr>
      <w:r>
        <w:drawing>
          <wp:inline distT="0" distB="0" distL="114300" distR="114300">
            <wp:extent cx="5272405" cy="2658745"/>
            <wp:effectExtent l="0" t="0" r="10795" b="8255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A8FA6">
      <w:pPr>
        <w:pStyle w:val="2"/>
        <w:spacing w:line="240" w:lineRule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2658745"/>
            <wp:effectExtent l="0" t="0" r="10795" b="8255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3D6EF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0" w:firstLine="0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21" w:name="_Toc29855"/>
      <w:bookmarkStart w:id="22" w:name="_Toc18751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个人证书</w:t>
      </w:r>
      <w:bookmarkEnd w:id="21"/>
      <w:bookmarkEnd w:id="22"/>
    </w:p>
    <w:p w14:paraId="596D4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点击右上角下拉列表；点击&lt;个人证书&gt;即可进入证书绑定界面，该界面可以进行证书搜索、绑定证书和解除绑定。</w:t>
      </w:r>
    </w:p>
    <w:p w14:paraId="757CE27C">
      <w:pPr>
        <w:pStyle w:val="2"/>
        <w:spacing w:line="24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2658745"/>
            <wp:effectExtent l="0" t="0" r="10795" b="8255"/>
            <wp:docPr id="8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1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A8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drawing>
          <wp:inline distT="0" distB="0" distL="114300" distR="114300">
            <wp:extent cx="5272405" cy="2658745"/>
            <wp:effectExtent l="0" t="0" r="10795" b="8255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A6029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0" w:firstLine="0"/>
        <w:textAlignment w:val="baseline"/>
        <w:rPr>
          <w:rFonts w:hint="eastAsia" w:ascii="仿宋" w:hAnsi="仿宋" w:eastAsia="仿宋" w:cs="仿宋"/>
          <w:sz w:val="28"/>
          <w:szCs w:val="28"/>
        </w:rPr>
      </w:pPr>
      <w:bookmarkStart w:id="23" w:name="_Toc21591"/>
      <w:bookmarkStart w:id="24" w:name="_Toc30936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退出登录</w:t>
      </w:r>
      <w:bookmarkEnd w:id="23"/>
      <w:bookmarkEnd w:id="24"/>
    </w:p>
    <w:p w14:paraId="02985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点击&lt;退出登录&gt;可退出CA证书和电子签章互认平台。</w:t>
      </w:r>
    </w:p>
    <w:p w14:paraId="040A6997">
      <w:pPr>
        <w:spacing w:line="240" w:lineRule="auto"/>
      </w:pPr>
      <w:r>
        <w:drawing>
          <wp:inline distT="0" distB="0" distL="114300" distR="114300">
            <wp:extent cx="5272405" cy="2658745"/>
            <wp:effectExtent l="0" t="0" r="10795" b="8255"/>
            <wp:docPr id="8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1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FA878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0" w:firstLine="0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25" w:name="_Toc23010"/>
      <w:bookmarkStart w:id="26" w:name="_Toc30559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驱动下载</w:t>
      </w:r>
      <w:bookmarkEnd w:id="25"/>
      <w:bookmarkEnd w:id="26"/>
    </w:p>
    <w:p w14:paraId="44093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 w:firstLineChars="200"/>
        <w:textAlignment w:val="baseline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点击驱动下载，即可弹出驱动下载界面，点击&lt;下载&gt;即可自动下载多CA互认证书驱动。</w:t>
      </w:r>
    </w:p>
    <w:p w14:paraId="06163A4B">
      <w:pPr>
        <w:pStyle w:val="2"/>
        <w:spacing w:line="240" w:lineRule="auto"/>
      </w:pPr>
      <w:r>
        <w:drawing>
          <wp:inline distT="0" distB="0" distL="114300" distR="114300">
            <wp:extent cx="5272405" cy="2658745"/>
            <wp:effectExtent l="0" t="0" r="10795" b="8255"/>
            <wp:docPr id="9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1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8A883">
      <w:pPr>
        <w:pStyle w:val="2"/>
        <w:spacing w:line="240" w:lineRule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2658745"/>
            <wp:effectExtent l="0" t="0" r="10795" b="8255"/>
            <wp:docPr id="9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2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5F541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575" w:hanging="575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27" w:name="_Toc20376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进入平台</w:t>
      </w:r>
      <w:bookmarkEnd w:id="27"/>
    </w:p>
    <w:p w14:paraId="27148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 w:firstLineChars="200"/>
        <w:textAlignment w:val="baseline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在进入互认平台首页后，选择需要进入的公共资源交易平台，点击后即可自动跳转并完成登录，无需再次输入密码。</w:t>
      </w:r>
    </w:p>
    <w:p w14:paraId="379DA537">
      <w:pPr>
        <w:pStyle w:val="2"/>
        <w:spacing w:line="240" w:lineRule="auto"/>
        <w:rPr>
          <w:rFonts w:hint="eastAsia"/>
          <w:lang w:val="en-US" w:eastAsia="zh-CN"/>
        </w:rPr>
      </w:pPr>
    </w:p>
    <w:p w14:paraId="74517398">
      <w:pPr>
        <w:pStyle w:val="2"/>
        <w:spacing w:line="24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37480" cy="2644140"/>
            <wp:effectExtent l="0" t="0" r="1270" b="381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E49D7">
      <w:pPr>
        <w:pStyle w:val="2"/>
        <w:spacing w:line="240" w:lineRule="auto"/>
        <w:ind w:firstLine="560" w:firstLineChars="200"/>
        <w:rPr>
          <w:rFonts w:hint="default" w:ascii="仿宋" w:hAnsi="仿宋" w:eastAsia="仿宋" w:cs="仿宋"/>
          <w:kern w:val="24"/>
          <w:sz w:val="28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lang w:val="en-US" w:eastAsia="zh-CN" w:bidi="ar-SA"/>
        </w:rPr>
        <w:t>进入对应公共资源交易平台后，选择正确的单位类型，并完善在交易平台上的单位信息，如基本信息，职业人员等。完成后提交审核，审核将自动通过，通过后刷新页面即可开展业务。</w:t>
      </w:r>
    </w:p>
    <w:p w14:paraId="431DC76E">
      <w:pPr>
        <w:pStyle w:val="2"/>
        <w:spacing w:line="24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2880" cy="2669540"/>
            <wp:effectExtent l="0" t="0" r="13970" b="16510"/>
            <wp:docPr id="2" name="图片 2" descr="71253ecfab3854d58f4cd9b2311f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1253ecfab3854d58f4cd9b2311f42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DEF86">
      <w:pPr>
        <w:pStyle w:val="2"/>
        <w:spacing w:line="24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45735" cy="3045460"/>
            <wp:effectExtent l="0" t="0" r="12065" b="2540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E21BC">
      <w:pPr>
        <w:pStyle w:val="2"/>
        <w:spacing w:line="24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40020" cy="2640330"/>
            <wp:effectExtent l="0" t="0" r="17780" b="7620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40020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96DBB">
      <w:pPr>
        <w:pStyle w:val="2"/>
        <w:spacing w:line="24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08905" cy="2428875"/>
            <wp:effectExtent l="0" t="0" r="10795" b="9525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3EC09">
      <w:r>
        <w:drawing>
          <wp:inline distT="0" distB="0" distL="114300" distR="114300">
            <wp:extent cx="5228590" cy="2263775"/>
            <wp:effectExtent l="0" t="0" r="10160" b="3175"/>
            <wp:docPr id="3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28590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6F550">
      <w:pPr>
        <w:rPr>
          <w:rFonts w:hint="eastAsia"/>
          <w:lang w:val="en-US" w:eastAsia="zh-CN"/>
        </w:rPr>
      </w:pPr>
      <w:r>
        <w:br w:type="page"/>
      </w:r>
    </w:p>
    <w:p w14:paraId="7412FC73">
      <w:pPr>
        <w:keepNext/>
        <w:keepLines/>
        <w:pageBreakBefore w:val="0"/>
        <w:widowControl w:val="0"/>
        <w:numPr>
          <w:ilvl w:val="0"/>
          <w:numId w:val="1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0" w:leftChars="0" w:firstLine="0"/>
        <w:jc w:val="both"/>
        <w:textAlignment w:val="baseline"/>
        <w:outlineLvl w:val="0"/>
        <w:rPr>
          <w:rFonts w:hint="eastAsia" w:ascii="仿宋" w:hAnsi="仿宋" w:eastAsia="仿宋" w:cs="仿宋"/>
          <w:b/>
          <w:bCs/>
          <w:kern w:val="24"/>
          <w:sz w:val="28"/>
          <w:szCs w:val="28"/>
          <w:lang w:val="en-US" w:eastAsia="zh-CN" w:bidi="ar-SA"/>
        </w:rPr>
      </w:pPr>
      <w:bookmarkStart w:id="28" w:name="_Toc22170"/>
      <w:r>
        <w:rPr>
          <w:rFonts w:hint="eastAsia" w:ascii="仿宋" w:hAnsi="仿宋" w:eastAsia="仿宋" w:cs="仿宋"/>
          <w:b/>
          <w:bCs/>
          <w:kern w:val="24"/>
          <w:sz w:val="28"/>
          <w:szCs w:val="28"/>
          <w:lang w:val="en-US" w:eastAsia="zh-CN" w:bidi="ar-SA"/>
        </w:rPr>
        <w:t>登录方式二</w:t>
      </w:r>
      <w:bookmarkEnd w:id="28"/>
    </w:p>
    <w:p w14:paraId="2732DD4E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575" w:hanging="575"/>
        <w:textAlignment w:val="baseline"/>
        <w:rPr>
          <w:rFonts w:hint="eastAsia" w:ascii="仿宋" w:hAnsi="仿宋" w:eastAsia="仿宋" w:cs="仿宋"/>
          <w:sz w:val="28"/>
          <w:szCs w:val="28"/>
        </w:rPr>
      </w:pPr>
      <w:bookmarkStart w:id="29" w:name="_Toc15128"/>
      <w:r>
        <w:rPr>
          <w:rFonts w:hint="eastAsia" w:ascii="仿宋" w:hAnsi="仿宋" w:eastAsia="仿宋" w:cs="仿宋"/>
          <w:sz w:val="28"/>
          <w:szCs w:val="28"/>
        </w:rPr>
        <w:t>登录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各级公共资源交易平台</w:t>
      </w:r>
      <w:bookmarkEnd w:id="29"/>
    </w:p>
    <w:p w14:paraId="7D484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打开浏览器，输入对应平台网址，进入各级公共资源交易平台登录页面。全疆交易平台主体登录入口地址如下：</w:t>
      </w:r>
    </w:p>
    <w:p w14:paraId="56235659">
      <w:pPr>
        <w:pStyle w:val="2"/>
        <w:numPr>
          <w:ilvl w:val="0"/>
          <w:numId w:val="2"/>
        </w:numPr>
        <w:spacing w:line="240" w:lineRule="auto"/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自治区：</w:t>
      </w:r>
      <w:r>
        <w:rPr>
          <w:rFonts w:hint="eastAsia" w:ascii="仿宋" w:hAnsi="仿宋" w:eastAsia="仿宋" w:cs="仿宋"/>
          <w:b/>
          <w:bCs/>
          <w:color w:val="auto"/>
          <w:kern w:val="24"/>
          <w:sz w:val="24"/>
          <w:szCs w:val="24"/>
          <w:highlight w:val="none"/>
          <w:lang w:val="en-US" w:eastAsia="zh-CN" w:bidi="ar-SA"/>
        </w:rPr>
        <w:t>https://ggzy.xinjiang.gov.cn/TPBidder/memberLogin</w:t>
      </w:r>
    </w:p>
    <w:p w14:paraId="100150FB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（2）乌鲁木齐：http://49.119.97.2:8090/TPBidder/memberLogin</w:t>
      </w:r>
    </w:p>
    <w:p w14:paraId="3CC8DAB5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（3）昌吉：http://www.cjzwfw.cn/TPBidder/memberLogin</w:t>
      </w:r>
    </w:p>
    <w:p w14:paraId="4C0247ED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（4）阿勒泰：http://xjaltggzy.gov.cn/TPBidder/memberLogin</w:t>
      </w:r>
    </w:p>
    <w:p w14:paraId="68342BFF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（5）克拉玛依：http://ggzy.klmy.gov.cn/TPBidder/memberLogin</w:t>
      </w:r>
    </w:p>
    <w:p w14:paraId="72BF5A2C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（6）阿克苏：https://ggzy.akszwfw.cn/TPBidder/memberLogin</w:t>
      </w:r>
    </w:p>
    <w:p w14:paraId="63F9911C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（7）伊犁：http://ggzy.xjyl.gov.cn/TPBidder/memberLogin</w:t>
      </w:r>
    </w:p>
    <w:p w14:paraId="07632F43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（8）塔城：http://ggzyjy.xjtc.gov.cn/TPBidder/memberLogin</w:t>
      </w:r>
    </w:p>
    <w:p w14:paraId="1B7B2EDC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（9）巴州：http://xjbzggzy.cn/TPBidder/memberLogin</w:t>
      </w:r>
    </w:p>
    <w:p w14:paraId="55E4F50D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（10）和田：http://36.107.230.199:8081/TPBidder/memberLogin</w:t>
      </w:r>
    </w:p>
    <w:p w14:paraId="6B4369EC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（11）喀什：http://124.88.238.80:1040/TPBidder/memberLogin</w:t>
      </w:r>
    </w:p>
    <w:p w14:paraId="23031C10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（12）哈密：http://ggzy.hmzwfw.com/TPBidder/memberLogin</w:t>
      </w:r>
    </w:p>
    <w:p w14:paraId="49B65072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（13）克州：http://kzggzyjy.com.cn:8024/TPBidder/memberLogin</w:t>
      </w:r>
    </w:p>
    <w:p w14:paraId="0C0AD6BD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（14）博州：http://xzfw.xjboz.gov.cn/TPBidder/memberLogin</w:t>
      </w:r>
    </w:p>
    <w:p w14:paraId="5C0A7A36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（15）吐鲁番：http://xzfw.xjboz.gov.cn/TPBidder/memberLogin</w:t>
      </w:r>
    </w:p>
    <w:p w14:paraId="1D955948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</w:p>
    <w:p w14:paraId="64342F39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575" w:hanging="575"/>
        <w:textAlignment w:val="baseline"/>
        <w:rPr>
          <w:rFonts w:hint="eastAsia" w:ascii="仿宋" w:hAnsi="仿宋" w:eastAsia="仿宋" w:cs="仿宋"/>
          <w:sz w:val="28"/>
          <w:szCs w:val="28"/>
        </w:rPr>
      </w:pPr>
      <w:bookmarkStart w:id="30" w:name="_Toc19263"/>
      <w:r>
        <w:rPr>
          <w:rFonts w:hint="eastAsia" w:ascii="仿宋" w:hAnsi="仿宋" w:eastAsia="仿宋" w:cs="仿宋"/>
          <w:sz w:val="28"/>
          <w:szCs w:val="28"/>
        </w:rPr>
        <w:t>准备工作</w:t>
      </w:r>
      <w:bookmarkEnd w:id="30"/>
    </w:p>
    <w:p w14:paraId="277BAB7F">
      <w:pPr>
        <w:pStyle w:val="5"/>
        <w:bidi w:val="0"/>
        <w:ind w:left="1000" w:leftChars="0" w:hanging="720" w:firstLineChars="0"/>
        <w:rPr>
          <w:rFonts w:hint="eastAsia" w:cs="Times New Roman"/>
          <w:sz w:val="28"/>
          <w:szCs w:val="28"/>
          <w:lang w:val="en-US" w:eastAsia="zh-CN"/>
        </w:rPr>
      </w:pPr>
      <w:bookmarkStart w:id="31" w:name="_Toc9046"/>
      <w:r>
        <w:rPr>
          <w:rFonts w:hint="eastAsia" w:cs="Times New Roman"/>
          <w:sz w:val="28"/>
          <w:szCs w:val="28"/>
          <w:lang w:val="en-US" w:eastAsia="zh-CN"/>
        </w:rPr>
        <w:t>系统软硬件要求</w:t>
      </w:r>
      <w:bookmarkEnd w:id="31"/>
    </w:p>
    <w:p w14:paraId="5F842802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建议使用Win7及以上64位操作系统</w:t>
      </w:r>
    </w:p>
    <w:p w14:paraId="3E0C7F61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浏览器使用IE浏览器，且IE版本在IE9以上。</w:t>
      </w:r>
    </w:p>
    <w:p w14:paraId="7128A73A">
      <w:pPr>
        <w:keepNext/>
        <w:keepLines/>
        <w:widowControl w:val="0"/>
        <w:numPr>
          <w:ilvl w:val="2"/>
          <w:numId w:val="1"/>
        </w:numPr>
        <w:bidi w:val="0"/>
        <w:adjustRightInd w:val="0"/>
        <w:spacing w:before="260" w:after="260" w:line="416" w:lineRule="auto"/>
        <w:ind w:left="1000" w:leftChars="0" w:hanging="720" w:firstLineChars="0"/>
        <w:jc w:val="both"/>
        <w:textAlignment w:val="baseline"/>
        <w:outlineLvl w:val="2"/>
        <w:rPr>
          <w:rFonts w:hint="eastAsia" w:ascii="Tahoma" w:hAnsi="Tahoma" w:eastAsia="宋体" w:cs="Times New Roman"/>
          <w:b/>
          <w:bCs/>
          <w:kern w:val="24"/>
          <w:sz w:val="28"/>
          <w:szCs w:val="28"/>
          <w:lang w:val="en-US" w:eastAsia="zh-CN" w:bidi="ar-SA"/>
        </w:rPr>
      </w:pPr>
      <w:bookmarkStart w:id="32" w:name="_Toc32029"/>
      <w:r>
        <w:rPr>
          <w:rFonts w:hint="eastAsia" w:ascii="Tahoma" w:hAnsi="Tahoma" w:eastAsia="宋体" w:cs="Times New Roman"/>
          <w:b/>
          <w:bCs/>
          <w:kern w:val="24"/>
          <w:sz w:val="28"/>
          <w:szCs w:val="28"/>
          <w:lang w:val="en-US" w:eastAsia="zh-CN" w:bidi="ar-SA"/>
        </w:rPr>
        <w:t>兼容性视图</w:t>
      </w:r>
      <w:bookmarkEnd w:id="32"/>
    </w:p>
    <w:p w14:paraId="76ADE110">
      <w:pPr>
        <w:adjustRightInd/>
        <w:spacing w:line="240" w:lineRule="auto"/>
        <w:ind w:left="0" w:leftChars="0" w:firstLine="0" w:firstLineChars="0"/>
        <w:textAlignment w:val="auto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将以上各级交易平台的网址，如xinjiang.gov.cn 添加至兼容性视图，此步骤不可缺少。</w:t>
      </w:r>
    </w:p>
    <w:p w14:paraId="680FBAD1">
      <w:pPr>
        <w:autoSpaceDE w:val="0"/>
        <w:autoSpaceDN w:val="0"/>
        <w:adjustRightInd/>
        <w:spacing w:before="9" w:line="240" w:lineRule="auto"/>
        <w:ind w:left="0" w:leftChars="0" w:firstLine="0" w:firstLineChars="0"/>
        <w:jc w:val="left"/>
        <w:textAlignment w:val="auto"/>
        <w:rPr>
          <w:rFonts w:ascii="宋体" w:hAnsi="宋体" w:eastAsia="仿宋" w:cs="宋体"/>
          <w:kern w:val="0"/>
          <w:sz w:val="10"/>
          <w:szCs w:val="24"/>
          <w:lang w:val="zh-CN" w:bidi="zh-CN"/>
        </w:rPr>
      </w:pPr>
    </w:p>
    <w:p w14:paraId="293ED098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ascii="Times New Roman" w:hAnsi="Times New Roman" w:eastAsia="仿宋" w:cs="Times New Roman"/>
          <w:kern w:val="2"/>
          <w:sz w:val="28"/>
          <w:szCs w:val="24"/>
        </w:rPr>
      </w:pPr>
      <w:r>
        <w:rPr>
          <w:rFonts w:ascii="Times New Roman" w:hAnsi="Times New Roman" w:eastAsia="仿宋" w:cs="Times New Roman"/>
          <w:kern w:val="2"/>
          <w:sz w:val="28"/>
          <w:szCs w:val="24"/>
        </w:rPr>
        <w:drawing>
          <wp:inline distT="0" distB="0" distL="114300" distR="114300">
            <wp:extent cx="5720715" cy="2583180"/>
            <wp:effectExtent l="0" t="0" r="13335" b="7620"/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20715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6E986">
      <w:pPr>
        <w:keepNext/>
        <w:keepLines/>
        <w:widowControl w:val="0"/>
        <w:numPr>
          <w:ilvl w:val="2"/>
          <w:numId w:val="1"/>
        </w:numPr>
        <w:bidi w:val="0"/>
        <w:adjustRightInd w:val="0"/>
        <w:spacing w:before="260" w:after="260" w:line="416" w:lineRule="auto"/>
        <w:ind w:left="1000" w:leftChars="0" w:hanging="720" w:firstLineChars="0"/>
        <w:jc w:val="both"/>
        <w:textAlignment w:val="baseline"/>
        <w:outlineLvl w:val="2"/>
        <w:rPr>
          <w:rFonts w:hint="eastAsia" w:ascii="Tahoma" w:hAnsi="Tahoma" w:eastAsia="宋体" w:cs="Times New Roman"/>
          <w:b/>
          <w:bCs/>
          <w:kern w:val="24"/>
          <w:sz w:val="28"/>
          <w:szCs w:val="28"/>
          <w:lang w:val="en-US" w:eastAsia="zh-CN" w:bidi="ar-SA"/>
        </w:rPr>
      </w:pPr>
      <w:bookmarkStart w:id="33" w:name="_Toc5773"/>
      <w:r>
        <w:rPr>
          <w:rFonts w:hint="eastAsia" w:ascii="Tahoma" w:hAnsi="Tahoma" w:eastAsia="宋体" w:cs="Times New Roman"/>
          <w:b/>
          <w:bCs/>
          <w:kern w:val="24"/>
          <w:sz w:val="28"/>
          <w:szCs w:val="28"/>
          <w:lang w:val="en-US" w:eastAsia="zh-CN" w:bidi="ar-SA"/>
        </w:rPr>
        <w:t>可信任站点</w:t>
      </w:r>
      <w:bookmarkEnd w:id="33"/>
    </w:p>
    <w:p w14:paraId="7CF2C717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需要将交易网站添加进可信站点:</w:t>
      </w:r>
    </w:p>
    <w:p w14:paraId="367E737C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ascii="Times New Roman" w:hAnsi="Times New Roman" w:eastAsia="仿宋" w:cs="Times New Roman"/>
          <w:kern w:val="2"/>
          <w:sz w:val="28"/>
          <w:szCs w:val="24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Internet 选项 -&gt; 安全 -&gt; 站点 -&gt; 添加 -&gt; 关闭 -&gt; 刷新界面</w:t>
      </w:r>
    </w:p>
    <w:p w14:paraId="7D4A9E07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ascii="Times New Roman" w:hAnsi="Times New Roman" w:eastAsia="仿宋" w:cs="Times New Roman"/>
          <w:kern w:val="2"/>
          <w:sz w:val="28"/>
          <w:szCs w:val="24"/>
        </w:rPr>
      </w:pPr>
      <w:r>
        <w:rPr>
          <w:rFonts w:ascii="宋体" w:hAnsi="宋体" w:eastAsia="仿宋" w:cs="宋体"/>
          <w:kern w:val="0"/>
          <w:sz w:val="17"/>
          <w:szCs w:val="24"/>
          <w:lang w:val="zh-CN" w:bidi="zh-CN"/>
        </w:rPr>
        <w:drawing>
          <wp:inline distT="0" distB="0" distL="114300" distR="114300">
            <wp:extent cx="5264150" cy="2853055"/>
            <wp:effectExtent l="0" t="0" r="12700" b="4445"/>
            <wp:docPr id="24" name="图片 24" descr="825255e73761907d111cc61ff3111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825255e73761907d111cc61ff3111d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C07A8">
      <w:pPr>
        <w:keepNext/>
        <w:keepLines/>
        <w:widowControl w:val="0"/>
        <w:numPr>
          <w:ilvl w:val="2"/>
          <w:numId w:val="1"/>
        </w:numPr>
        <w:bidi w:val="0"/>
        <w:adjustRightInd w:val="0"/>
        <w:spacing w:before="260" w:after="260" w:line="416" w:lineRule="auto"/>
        <w:ind w:left="1000" w:leftChars="0" w:hanging="720" w:firstLineChars="0"/>
        <w:jc w:val="both"/>
        <w:textAlignment w:val="baseline"/>
        <w:outlineLvl w:val="2"/>
        <w:rPr>
          <w:rFonts w:hint="eastAsia" w:ascii="Tahoma" w:hAnsi="Tahoma" w:eastAsia="宋体" w:cs="Times New Roman"/>
          <w:b/>
          <w:bCs/>
          <w:kern w:val="24"/>
          <w:sz w:val="28"/>
          <w:szCs w:val="28"/>
          <w:lang w:val="en-US" w:eastAsia="zh-CN" w:bidi="ar-SA"/>
        </w:rPr>
      </w:pPr>
      <w:bookmarkStart w:id="34" w:name="_Toc12064"/>
      <w:r>
        <w:rPr>
          <w:rFonts w:hint="eastAsia" w:ascii="Tahoma" w:hAnsi="Tahoma" w:eastAsia="宋体" w:cs="Times New Roman"/>
          <w:b w:val="0"/>
          <w:bCs w:val="0"/>
          <w:kern w:val="24"/>
          <w:sz w:val="28"/>
          <w:szCs w:val="28"/>
          <w:lang w:val="en-US" w:eastAsia="zh-CN" w:bidi="ar-SA"/>
        </w:rPr>
        <w:t xml:space="preserve">activeX </w:t>
      </w:r>
      <w:r>
        <w:rPr>
          <w:rFonts w:hint="eastAsia" w:ascii="Tahoma" w:hAnsi="Tahoma" w:eastAsia="宋体" w:cs="Times New Roman"/>
          <w:b/>
          <w:bCs/>
          <w:kern w:val="24"/>
          <w:sz w:val="28"/>
          <w:szCs w:val="28"/>
          <w:lang w:val="en-US" w:eastAsia="zh-CN" w:bidi="ar-SA"/>
        </w:rPr>
        <w:t>控件</w:t>
      </w:r>
      <w:bookmarkEnd w:id="34"/>
    </w:p>
    <w:p w14:paraId="51A07A53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ascii="Times New Roman" w:hAnsi="Times New Roman" w:eastAsia="仿宋" w:cs="Times New Roman"/>
          <w:kern w:val="2"/>
          <w:sz w:val="28"/>
          <w:szCs w:val="24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打开 IE 工具栏 -&gt; Internet 选项-&gt;安全-&gt;自定义级别-&gt; actvieX 控件（共计13项）全部选择“启用”</w:t>
      </w:r>
    </w:p>
    <w:p w14:paraId="1D0CF789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ascii="Times New Roman" w:hAnsi="Times New Roman" w:eastAsia="仿宋" w:cs="Times New Roman"/>
          <w:kern w:val="2"/>
          <w:sz w:val="28"/>
          <w:szCs w:val="24"/>
        </w:rPr>
      </w:pPr>
      <w:r>
        <w:rPr>
          <w:rFonts w:hint="eastAsia" w:ascii="宋体" w:hAnsi="宋体" w:eastAsia="仿宋" w:cs="宋体"/>
          <w:sz w:val="28"/>
          <w:szCs w:val="24"/>
          <w:lang w:eastAsia="zh-CN"/>
        </w:rPr>
        <w:drawing>
          <wp:inline distT="0" distB="0" distL="114300" distR="114300">
            <wp:extent cx="5266690" cy="2874645"/>
            <wp:effectExtent l="0" t="0" r="10160" b="1905"/>
            <wp:docPr id="25" name="图片 25" descr="bcfc15c05b7f280a143f3d405a4f1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bcfc15c05b7f280a143f3d405a4f11b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3B80A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ascii="Times New Roman" w:hAnsi="Times New Roman" w:eastAsia="仿宋" w:cs="Times New Roman"/>
          <w:kern w:val="2"/>
          <w:sz w:val="28"/>
          <w:szCs w:val="24"/>
        </w:rPr>
      </w:pPr>
    </w:p>
    <w:p w14:paraId="14ADEED1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ascii="Times New Roman" w:hAnsi="Times New Roman" w:eastAsia="仿宋" w:cs="Times New Roman"/>
          <w:kern w:val="2"/>
          <w:sz w:val="28"/>
          <w:szCs w:val="24"/>
        </w:rPr>
      </w:pPr>
    </w:p>
    <w:p w14:paraId="600DDE65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ascii="Times New Roman" w:hAnsi="Times New Roman" w:eastAsia="仿宋" w:cs="Times New Roman"/>
          <w:kern w:val="2"/>
          <w:sz w:val="28"/>
          <w:szCs w:val="24"/>
        </w:rPr>
      </w:pPr>
    </w:p>
    <w:p w14:paraId="6C96BAAE">
      <w:pPr>
        <w:keepNext/>
        <w:keepLines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575" w:leftChars="0" w:hanging="575"/>
        <w:jc w:val="both"/>
        <w:textAlignment w:val="baseline"/>
        <w:outlineLvl w:val="1"/>
        <w:rPr>
          <w:rFonts w:hint="eastAsia" w:ascii="仿宋" w:hAnsi="仿宋" w:eastAsia="仿宋" w:cs="仿宋"/>
          <w:b/>
          <w:bCs/>
          <w:kern w:val="24"/>
          <w:sz w:val="28"/>
          <w:szCs w:val="28"/>
          <w:lang w:val="en-US" w:eastAsia="zh-CN" w:bidi="ar-SA"/>
        </w:rPr>
      </w:pPr>
      <w:bookmarkStart w:id="35" w:name="_Toc27440"/>
      <w:r>
        <w:rPr>
          <w:rFonts w:hint="eastAsia" w:ascii="仿宋" w:hAnsi="仿宋" w:eastAsia="仿宋" w:cs="仿宋"/>
          <w:b/>
          <w:bCs/>
          <w:kern w:val="24"/>
          <w:sz w:val="28"/>
          <w:szCs w:val="28"/>
          <w:lang w:val="en-US" w:eastAsia="zh-CN" w:bidi="ar-SA"/>
        </w:rPr>
        <w:t>驱动安装说明</w:t>
      </w:r>
      <w:bookmarkEnd w:id="35"/>
    </w:p>
    <w:p w14:paraId="79413B96">
      <w:pPr>
        <w:pStyle w:val="2"/>
        <w:widowControl w:val="0"/>
        <w:numPr>
          <w:ilvl w:val="0"/>
          <w:numId w:val="3"/>
        </w:numPr>
        <w:adjustRightInd w:val="0"/>
        <w:spacing w:after="120" w:line="240" w:lineRule="auto"/>
        <w:jc w:val="both"/>
        <w:textAlignment w:val="baseline"/>
      </w:pPr>
      <w:r>
        <w:rPr>
          <w:rFonts w:hint="eastAsia" w:ascii="Times New Roman" w:hAnsi="Times New Roman" w:eastAsia="仿宋" w:cs="Times New Roman"/>
          <w:kern w:val="2"/>
          <w:sz w:val="28"/>
          <w:szCs w:val="24"/>
          <w:lang w:val="en-US" w:eastAsia="zh-CN"/>
        </w:rPr>
        <w:t>可以通过各级交易网站服务指南-下载中心下载驱动</w:t>
      </w:r>
    </w:p>
    <w:p w14:paraId="142E6515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0500" cy="2433320"/>
            <wp:effectExtent l="0" t="0" r="0" b="5080"/>
            <wp:docPr id="32" name="图片 32" descr="局部截取_20260722_203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局部截取_20260722_20361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1D7A5">
      <w:pPr>
        <w:adjustRightInd/>
        <w:spacing w:line="240" w:lineRule="auto"/>
        <w:ind w:left="0" w:leftChars="0" w:firstLine="420" w:firstLineChars="0"/>
        <w:textAlignment w:val="auto"/>
        <w:rPr>
          <w:rFonts w:ascii="Times New Roman" w:hAnsi="Times New Roman" w:eastAsia="仿宋" w:cs="Times New Roman"/>
          <w:color w:val="000000"/>
          <w:kern w:val="2"/>
          <w:sz w:val="28"/>
          <w:szCs w:val="24"/>
        </w:rPr>
      </w:pPr>
      <w:r>
        <w:rPr>
          <w:rFonts w:hint="eastAsia" w:ascii="Times New Roman" w:hAnsi="Times New Roman" w:eastAsia="仿宋" w:cs="Times New Roman"/>
          <w:color w:val="000000"/>
          <w:kern w:val="2"/>
          <w:sz w:val="28"/>
          <w:szCs w:val="24"/>
          <w:lang w:val="en-US" w:eastAsia="zh-CN"/>
        </w:rPr>
        <w:t>2、</w:t>
      </w:r>
      <w:r>
        <w:rPr>
          <w:rFonts w:ascii="Times New Roman" w:hAnsi="Times New Roman" w:eastAsia="仿宋" w:cs="Times New Roman"/>
          <w:color w:val="000000"/>
          <w:kern w:val="2"/>
          <w:sz w:val="28"/>
          <w:szCs w:val="24"/>
        </w:rPr>
        <w:t>双击</w:t>
      </w:r>
      <w:r>
        <w:rPr>
          <w:rFonts w:hint="eastAsia" w:ascii="Times New Roman" w:hAnsi="Times New Roman" w:eastAsia="仿宋" w:cs="Times New Roman"/>
          <w:color w:val="000000"/>
          <w:kern w:val="2"/>
          <w:sz w:val="28"/>
          <w:szCs w:val="24"/>
        </w:rPr>
        <w:t>下载下来的</w:t>
      </w:r>
      <w:r>
        <w:rPr>
          <w:rFonts w:ascii="Times New Roman" w:hAnsi="Times New Roman" w:eastAsia="仿宋" w:cs="Times New Roman"/>
          <w:color w:val="000000"/>
          <w:kern w:val="2"/>
          <w:sz w:val="28"/>
          <w:szCs w:val="24"/>
        </w:rPr>
        <w:t>安装程序</w:t>
      </w:r>
      <w:r>
        <w:rPr>
          <w:rFonts w:ascii="Times New Roman" w:hAnsi="Times New Roman" w:eastAsia="仿宋" w:cs="Times New Roman"/>
          <w:color w:val="000000"/>
          <w:kern w:val="2"/>
          <w:sz w:val="28"/>
          <w:szCs w:val="24"/>
        </w:rPr>
        <w:drawing>
          <wp:inline distT="0" distB="0" distL="114300" distR="114300">
            <wp:extent cx="2522855" cy="343535"/>
            <wp:effectExtent l="0" t="0" r="0" b="0"/>
            <wp:docPr id="46" name="图片 46" descr="局部截取_20260722_203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局部截取_20260722_203653"/>
                    <pic:cNvPicPr>
                      <a:picLocks noChangeAspect="1"/>
                    </pic:cNvPicPr>
                  </pic:nvPicPr>
                  <pic:blipFill>
                    <a:blip r:embed="rId41"/>
                    <a:srcRect r="29369" b="12033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34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仿宋" w:cs="Times New Roman"/>
          <w:color w:val="000000"/>
          <w:kern w:val="2"/>
          <w:sz w:val="28"/>
          <w:szCs w:val="24"/>
        </w:rPr>
        <w:t>，进入安装页面</w:t>
      </w:r>
      <w:r>
        <w:rPr>
          <w:rFonts w:hint="eastAsia" w:ascii="Times New Roman" w:hAnsi="Times New Roman" w:eastAsia="仿宋" w:cs="Times New Roman"/>
          <w:color w:val="000000"/>
          <w:kern w:val="2"/>
          <w:sz w:val="28"/>
          <w:szCs w:val="24"/>
          <w:lang w:eastAsia="zh-CN"/>
        </w:rPr>
        <w:t>，</w:t>
      </w:r>
      <w:r>
        <w:rPr>
          <w:rFonts w:hint="eastAsia" w:ascii="Times New Roman" w:hAnsi="Times New Roman" w:eastAsia="仿宋" w:cs="Times New Roman"/>
          <w:color w:val="000000"/>
          <w:kern w:val="2"/>
          <w:sz w:val="28"/>
          <w:szCs w:val="24"/>
        </w:rPr>
        <w:t>选中协议，</w:t>
      </w:r>
      <w:r>
        <w:rPr>
          <w:rFonts w:ascii="Times New Roman" w:hAnsi="Times New Roman" w:eastAsia="仿宋" w:cs="Times New Roman"/>
          <w:color w:val="000000"/>
          <w:kern w:val="2"/>
          <w:sz w:val="28"/>
          <w:szCs w:val="24"/>
        </w:rPr>
        <w:t>点击</w:t>
      </w:r>
      <w:r>
        <w:rPr>
          <w:rFonts w:hint="eastAsia" w:ascii="Times New Roman" w:hAnsi="Times New Roman" w:eastAsia="仿宋" w:cs="Times New Roman"/>
          <w:color w:val="000000"/>
          <w:kern w:val="2"/>
          <w:sz w:val="28"/>
          <w:szCs w:val="24"/>
        </w:rPr>
        <w:t>“自定义安装”</w:t>
      </w:r>
      <w:r>
        <w:rPr>
          <w:rFonts w:ascii="Times New Roman" w:hAnsi="Times New Roman" w:eastAsia="仿宋" w:cs="Times New Roman"/>
          <w:color w:val="000000"/>
          <w:kern w:val="2"/>
          <w:sz w:val="28"/>
          <w:szCs w:val="24"/>
        </w:rPr>
        <w:t>。</w:t>
      </w:r>
    </w:p>
    <w:p w14:paraId="4BC9F493">
      <w:pPr>
        <w:autoSpaceDE w:val="0"/>
        <w:autoSpaceDN w:val="0"/>
        <w:adjustRightInd w:val="0"/>
        <w:spacing w:line="240" w:lineRule="auto"/>
        <w:ind w:left="0" w:leftChars="0" w:right="-20" w:firstLine="0" w:firstLineChars="0"/>
        <w:jc w:val="both"/>
        <w:textAlignment w:val="auto"/>
        <w:rPr>
          <w:rFonts w:hint="eastAsia" w:ascii="Times New Roman" w:hAnsi="Times New Roman" w:eastAsia="仿宋" w:cs="Times New Roman"/>
          <w:color w:val="000000"/>
          <w:spacing w:val="4"/>
          <w:kern w:val="2"/>
          <w:sz w:val="28"/>
          <w:szCs w:val="24"/>
          <w:lang w:eastAsia="zh-CN"/>
        </w:rPr>
      </w:pPr>
      <w:r>
        <w:rPr>
          <w:rFonts w:hint="eastAsia" w:ascii="Times New Roman" w:hAnsi="Times New Roman" w:eastAsia="仿宋" w:cs="Times New Roman"/>
          <w:color w:val="000000"/>
          <w:spacing w:val="4"/>
          <w:kern w:val="2"/>
          <w:sz w:val="28"/>
          <w:szCs w:val="24"/>
          <w:lang w:eastAsia="zh-CN"/>
        </w:rPr>
        <w:drawing>
          <wp:inline distT="0" distB="0" distL="114300" distR="114300">
            <wp:extent cx="5272405" cy="3954145"/>
            <wp:effectExtent l="0" t="0" r="10795" b="8255"/>
            <wp:docPr id="47" name="图片 47" descr="47c9947081e8a8c465646ec667d064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47c9947081e8a8c465646ec667d0644c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212AD">
      <w:pPr>
        <w:adjustRightInd/>
        <w:spacing w:line="240" w:lineRule="auto"/>
        <w:ind w:left="0" w:leftChars="0" w:firstLine="420" w:firstLineChars="0"/>
        <w:textAlignment w:val="auto"/>
        <w:rPr>
          <w:rFonts w:ascii="Times New Roman" w:hAnsi="Times New Roman" w:eastAsia="仿宋" w:cs="Times New Roman"/>
          <w:color w:val="000000"/>
          <w:kern w:val="2"/>
          <w:sz w:val="28"/>
          <w:szCs w:val="24"/>
        </w:rPr>
      </w:pPr>
      <w:r>
        <w:rPr>
          <w:rFonts w:hint="eastAsia" w:ascii="Times New Roman" w:hAnsi="Times New Roman" w:eastAsia="仿宋" w:cs="Times New Roman"/>
          <w:color w:val="000000"/>
          <w:kern w:val="2"/>
          <w:sz w:val="28"/>
          <w:szCs w:val="24"/>
        </w:rPr>
        <w:t>注：在安装驱动之前，请确保所有浏览器均已关闭。</w:t>
      </w:r>
    </w:p>
    <w:p w14:paraId="455611B3">
      <w:pPr>
        <w:adjustRightInd/>
        <w:spacing w:line="240" w:lineRule="auto"/>
        <w:ind w:left="0" w:leftChars="0" w:firstLine="0" w:firstLineChars="0"/>
        <w:textAlignment w:val="auto"/>
        <w:rPr>
          <w:rFonts w:ascii="Times New Roman" w:hAnsi="Times New Roman" w:eastAsia="仿宋" w:cs="Times New Roman"/>
          <w:color w:val="000000"/>
          <w:kern w:val="2"/>
          <w:sz w:val="28"/>
          <w:szCs w:val="24"/>
        </w:rPr>
      </w:pPr>
    </w:p>
    <w:p w14:paraId="5A8A6B6B">
      <w:pPr>
        <w:adjustRightInd/>
        <w:spacing w:line="240" w:lineRule="auto"/>
        <w:ind w:left="0" w:leftChars="0" w:firstLine="420" w:firstLineChars="0"/>
        <w:textAlignment w:val="auto"/>
        <w:rPr>
          <w:rFonts w:ascii="Times New Roman" w:hAnsi="Times New Roman" w:eastAsia="仿宋" w:cs="Times New Roman"/>
          <w:color w:val="000000"/>
          <w:kern w:val="2"/>
          <w:sz w:val="28"/>
          <w:szCs w:val="24"/>
        </w:rPr>
      </w:pPr>
      <w:r>
        <w:rPr>
          <w:rFonts w:hint="eastAsia" w:ascii="Times New Roman" w:hAnsi="Times New Roman" w:eastAsia="仿宋" w:cs="Times New Roman"/>
          <w:color w:val="000000"/>
          <w:kern w:val="2"/>
          <w:sz w:val="28"/>
          <w:szCs w:val="24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color w:val="000000"/>
          <w:kern w:val="2"/>
          <w:sz w:val="28"/>
          <w:szCs w:val="24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2"/>
          <w:sz w:val="28"/>
          <w:szCs w:val="24"/>
          <w:lang w:val="en-US" w:eastAsia="zh-CN"/>
        </w:rPr>
        <w:t>安装过程若有提示，选择忽略即可。</w:t>
      </w:r>
      <w:r>
        <w:rPr>
          <w:rFonts w:hint="eastAsia" w:ascii="Times New Roman" w:hAnsi="Times New Roman" w:eastAsia="仿宋" w:cs="Times New Roman"/>
          <w:color w:val="000000"/>
          <w:kern w:val="2"/>
          <w:sz w:val="28"/>
          <w:szCs w:val="24"/>
        </w:rPr>
        <w:t>驱动安装完成后，打开完成界面。</w:t>
      </w:r>
    </w:p>
    <w:p w14:paraId="3386A29E">
      <w:pPr>
        <w:adjustRightInd/>
        <w:spacing w:line="240" w:lineRule="auto"/>
        <w:ind w:left="0" w:leftChars="0" w:firstLine="0" w:firstLineChars="0"/>
        <w:textAlignment w:val="auto"/>
        <w:rPr>
          <w:rFonts w:hint="eastAsia" w:eastAsia="黑体"/>
          <w:lang w:eastAsia="zh-CN"/>
        </w:rPr>
      </w:pPr>
      <w:r>
        <w:rPr>
          <w:rFonts w:hint="eastAsia" w:eastAsia="黑体"/>
          <w:lang w:eastAsia="zh-CN"/>
        </w:rPr>
        <w:drawing>
          <wp:inline distT="0" distB="0" distL="114300" distR="114300">
            <wp:extent cx="5272405" cy="3954145"/>
            <wp:effectExtent l="0" t="0" r="10795" b="8255"/>
            <wp:docPr id="48" name="图片 48" descr="eb7d9fda9d2e2dba373a90a411567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eb7d9fda9d2e2dba373a90a411567ace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BF587">
      <w:pPr>
        <w:pStyle w:val="2"/>
        <w:rPr>
          <w:rFonts w:hint="eastAsia" w:eastAsia="黑体"/>
          <w:lang w:eastAsia="zh-CN"/>
        </w:rPr>
      </w:pPr>
      <w:r>
        <w:rPr>
          <w:rFonts w:hint="eastAsia" w:eastAsia="黑体"/>
          <w:lang w:eastAsia="zh-CN"/>
        </w:rPr>
        <w:drawing>
          <wp:inline distT="0" distB="0" distL="114300" distR="114300">
            <wp:extent cx="5267325" cy="3322955"/>
            <wp:effectExtent l="0" t="0" r="3175" b="4445"/>
            <wp:docPr id="49" name="图片 49" descr="DetectionTool2.exe_20260722_203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DetectionTool2.exe_20260722_20382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FF2B3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ascii="Times New Roman" w:hAnsi="Times New Roman" w:eastAsia="仿宋" w:cs="Times New Roman"/>
          <w:kern w:val="2"/>
          <w:sz w:val="28"/>
          <w:szCs w:val="24"/>
        </w:rPr>
      </w:pPr>
      <w:r>
        <w:rPr>
          <w:rFonts w:hint="eastAsia" w:ascii="Times New Roman" w:hAnsi="Times New Roman" w:eastAsia="仿宋" w:cs="Times New Roman"/>
          <w:color w:val="000000"/>
          <w:kern w:val="2"/>
          <w:sz w:val="28"/>
          <w:szCs w:val="24"/>
        </w:rPr>
        <w:t>点击“完成”按钮，驱动安装成功，桌面显示图标</w:t>
      </w:r>
      <w:r>
        <w:drawing>
          <wp:inline distT="0" distB="0" distL="114300" distR="114300">
            <wp:extent cx="704850" cy="647700"/>
            <wp:effectExtent l="0" t="0" r="0" b="0"/>
            <wp:docPr id="3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仿宋" w:cs="Times New Roman"/>
          <w:color w:val="000000"/>
          <w:kern w:val="2"/>
          <w:sz w:val="28"/>
          <w:szCs w:val="24"/>
        </w:rPr>
        <w:t>。</w:t>
      </w:r>
    </w:p>
    <w:p w14:paraId="0C62961A">
      <w:pPr>
        <w:keepNext/>
        <w:keepLines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575" w:leftChars="0" w:hanging="575"/>
        <w:jc w:val="both"/>
        <w:textAlignment w:val="baseline"/>
        <w:outlineLvl w:val="1"/>
        <w:rPr>
          <w:rFonts w:hint="eastAsia" w:ascii="仿宋" w:hAnsi="仿宋" w:eastAsia="仿宋" w:cs="仿宋"/>
          <w:b/>
          <w:bCs/>
          <w:kern w:val="24"/>
          <w:sz w:val="28"/>
          <w:szCs w:val="28"/>
          <w:lang w:val="en-US" w:eastAsia="zh-CN" w:bidi="ar-SA"/>
        </w:rPr>
      </w:pPr>
      <w:bookmarkStart w:id="36" w:name="_Toc18519"/>
      <w:r>
        <w:rPr>
          <w:rFonts w:hint="eastAsia" w:ascii="仿宋" w:hAnsi="仿宋" w:eastAsia="仿宋" w:cs="仿宋"/>
          <w:b/>
          <w:bCs/>
          <w:kern w:val="24"/>
          <w:sz w:val="28"/>
          <w:szCs w:val="28"/>
          <w:lang w:val="en-US" w:eastAsia="zh-CN" w:bidi="ar-SA"/>
        </w:rPr>
        <w:t>注册登陆</w:t>
      </w:r>
      <w:bookmarkEnd w:id="36"/>
    </w:p>
    <w:p w14:paraId="56229C59">
      <w:pPr>
        <w:widowControl w:val="0"/>
        <w:adjustRightInd w:val="0"/>
        <w:spacing w:after="120" w:line="240" w:lineRule="auto"/>
        <w:ind w:left="0" w:leftChars="0" w:firstLine="560" w:firstLineChars="200"/>
        <w:jc w:val="both"/>
        <w:textAlignment w:val="baseline"/>
        <w:rPr>
          <w:rFonts w:hint="eastAsia" w:ascii="仿宋" w:hAnsi="仿宋" w:eastAsia="仿宋" w:cs="仿宋"/>
          <w:kern w:val="24"/>
          <w:sz w:val="28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lang w:val="en-US" w:eastAsia="zh-CN" w:bidi="ar-SA"/>
        </w:rPr>
        <w:t>通过地址，选择CA登录方式，输入密码后进入对应公共资源交易平台（如下图自治区公共资源交易平台）。选择正确的单位类型，并完善在交易平台上的单位信息，如基本信息，职业人员等。完成后提交审核，审核将自动通过，通过后，刷新页面即可查看系统相关菜单，并开展后续业务。</w:t>
      </w:r>
    </w:p>
    <w:p w14:paraId="0982C02F">
      <w:pPr>
        <w:widowControl w:val="0"/>
        <w:adjustRightInd w:val="0"/>
        <w:spacing w:after="120" w:line="240" w:lineRule="auto"/>
        <w:jc w:val="both"/>
        <w:textAlignment w:val="baseline"/>
        <w:rPr>
          <w:rFonts w:hint="eastAsia" w:ascii="仿宋" w:hAnsi="仿宋" w:eastAsia="仿宋" w:cs="仿宋"/>
          <w:kern w:val="24"/>
          <w:sz w:val="28"/>
          <w:lang w:val="en-US" w:eastAsia="zh-CN" w:bidi="ar-SA"/>
        </w:rPr>
      </w:pPr>
      <w:r>
        <w:drawing>
          <wp:inline distT="0" distB="0" distL="114300" distR="114300">
            <wp:extent cx="5274945" cy="2520315"/>
            <wp:effectExtent l="0" t="0" r="1905" b="13335"/>
            <wp:docPr id="4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13E5E">
      <w:pPr>
        <w:widowControl w:val="0"/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lang w:val="en-US" w:eastAsia="zh-CN" w:bidi="ar-SA"/>
        </w:rPr>
      </w:pPr>
      <w:r>
        <w:drawing>
          <wp:inline distT="0" distB="0" distL="114300" distR="114300">
            <wp:extent cx="5249545" cy="2074545"/>
            <wp:effectExtent l="0" t="0" r="8255" b="1905"/>
            <wp:docPr id="4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5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49545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43452">
      <w:pPr>
        <w:widowControl w:val="0"/>
        <w:adjustRightInd w:val="0"/>
        <w:spacing w:after="120" w:line="240" w:lineRule="auto"/>
        <w:ind w:left="0" w:leftChars="0"/>
        <w:jc w:val="both"/>
        <w:textAlignment w:val="baseline"/>
        <w:rPr>
          <w:rFonts w:hint="eastAsia" w:ascii="Tahoma" w:hAnsi="Tahoma" w:eastAsia="黑体" w:cs="Times New Roman"/>
          <w:kern w:val="24"/>
          <w:sz w:val="28"/>
          <w:lang w:val="en-US" w:eastAsia="zh-CN" w:bidi="ar-SA"/>
        </w:rPr>
      </w:pPr>
      <w:r>
        <w:rPr>
          <w:rFonts w:hint="eastAsia" w:ascii="Tahoma" w:hAnsi="Tahoma" w:eastAsia="黑体" w:cs="Times New Roman"/>
          <w:kern w:val="24"/>
          <w:sz w:val="28"/>
          <w:lang w:val="en-US" w:eastAsia="zh-CN" w:bidi="ar-SA"/>
        </w:rPr>
        <w:drawing>
          <wp:inline distT="0" distB="0" distL="114300" distR="114300">
            <wp:extent cx="5262880" cy="2478405"/>
            <wp:effectExtent l="0" t="0" r="0" b="0"/>
            <wp:docPr id="38" name="图片 38" descr="71253ecfab3854d58f4cd9b2311f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71253ecfab3854d58f4cd9b2311f424"/>
                    <pic:cNvPicPr>
                      <a:picLocks noChangeAspect="1"/>
                    </pic:cNvPicPr>
                  </pic:nvPicPr>
                  <pic:blipFill>
                    <a:blip r:embed="rId32"/>
                    <a:srcRect b="716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78F49">
      <w:pPr>
        <w:widowControl w:val="0"/>
        <w:adjustRightInd w:val="0"/>
        <w:spacing w:after="120" w:line="240" w:lineRule="auto"/>
        <w:ind w:left="0" w:leftChars="0"/>
        <w:jc w:val="both"/>
        <w:textAlignment w:val="baseline"/>
        <w:rPr>
          <w:rFonts w:hint="eastAsia" w:ascii="Tahoma" w:hAnsi="Tahoma" w:eastAsia="黑体" w:cs="Times New Roman"/>
          <w:kern w:val="24"/>
          <w:sz w:val="28"/>
          <w:lang w:val="en-US" w:eastAsia="zh-CN" w:bidi="ar-SA"/>
        </w:rPr>
      </w:pPr>
      <w:r>
        <w:rPr>
          <w:rFonts w:ascii="Tahoma" w:hAnsi="Tahoma" w:eastAsia="黑体" w:cs="Times New Roman"/>
          <w:kern w:val="24"/>
          <w:sz w:val="28"/>
          <w:lang w:val="en-US" w:eastAsia="zh-CN" w:bidi="ar-SA"/>
        </w:rPr>
        <w:drawing>
          <wp:inline distT="0" distB="0" distL="114300" distR="114300">
            <wp:extent cx="5245735" cy="3045460"/>
            <wp:effectExtent l="0" t="0" r="12065" b="2540"/>
            <wp:docPr id="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98E5B">
      <w:pPr>
        <w:widowControl w:val="0"/>
        <w:adjustRightInd w:val="0"/>
        <w:spacing w:after="120" w:line="240" w:lineRule="auto"/>
        <w:ind w:left="0" w:leftChars="0"/>
        <w:jc w:val="both"/>
        <w:textAlignment w:val="baseline"/>
        <w:rPr>
          <w:rFonts w:hint="eastAsia" w:ascii="Tahoma" w:hAnsi="Tahoma" w:eastAsia="黑体" w:cs="Times New Roman"/>
          <w:kern w:val="24"/>
          <w:sz w:val="28"/>
          <w:lang w:val="en-US" w:eastAsia="zh-CN" w:bidi="ar-SA"/>
        </w:rPr>
      </w:pPr>
      <w:r>
        <w:rPr>
          <w:rFonts w:ascii="Tahoma" w:hAnsi="Tahoma" w:eastAsia="黑体" w:cs="Times New Roman"/>
          <w:kern w:val="24"/>
          <w:sz w:val="28"/>
          <w:lang w:val="en-US" w:eastAsia="zh-CN" w:bidi="ar-SA"/>
        </w:rPr>
        <w:drawing>
          <wp:inline distT="0" distB="0" distL="114300" distR="114300">
            <wp:extent cx="5240020" cy="2640330"/>
            <wp:effectExtent l="0" t="0" r="17780" b="7620"/>
            <wp:docPr id="4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40020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C551C">
      <w:pPr>
        <w:widowControl w:val="0"/>
        <w:adjustRightInd w:val="0"/>
        <w:spacing w:after="120" w:line="240" w:lineRule="auto"/>
        <w:ind w:left="0" w:leftChars="0"/>
        <w:jc w:val="both"/>
        <w:textAlignment w:val="baseline"/>
        <w:rPr>
          <w:rFonts w:hint="eastAsia" w:ascii="Tahoma" w:hAnsi="Tahoma" w:eastAsia="黑体" w:cs="Times New Roman"/>
          <w:kern w:val="24"/>
          <w:sz w:val="28"/>
          <w:lang w:val="en-US" w:eastAsia="zh-CN" w:bidi="ar-SA"/>
        </w:rPr>
      </w:pPr>
      <w:r>
        <w:rPr>
          <w:rFonts w:ascii="Tahoma" w:hAnsi="Tahoma" w:eastAsia="黑体" w:cs="Times New Roman"/>
          <w:kern w:val="24"/>
          <w:sz w:val="28"/>
          <w:lang w:val="en-US" w:eastAsia="zh-CN" w:bidi="ar-SA"/>
        </w:rPr>
        <w:drawing>
          <wp:inline distT="0" distB="0" distL="114300" distR="114300">
            <wp:extent cx="5208905" cy="2428875"/>
            <wp:effectExtent l="0" t="0" r="10795" b="9525"/>
            <wp:docPr id="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A6AFA">
      <w:pPr>
        <w:rPr>
          <w:rFonts w:cs="Times New Roman"/>
        </w:rPr>
      </w:pPr>
      <w:r>
        <w:rPr>
          <w:rFonts w:cs="Times New Roman"/>
        </w:rPr>
        <w:drawing>
          <wp:inline distT="0" distB="0" distL="114300" distR="114300">
            <wp:extent cx="5228590" cy="2263775"/>
            <wp:effectExtent l="0" t="0" r="10160" b="3175"/>
            <wp:docPr id="4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28590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66EA8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ascii="Times New Roman" w:hAnsi="Times New Roman" w:eastAsia="仿宋" w:cs="Times New Roman"/>
          <w:kern w:val="2"/>
          <w:sz w:val="28"/>
          <w:szCs w:val="24"/>
        </w:rPr>
      </w:pPr>
    </w:p>
    <w:p w14:paraId="5CC0C4D2"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Times New Roman" w:hAnsi="Times New Roman" w:eastAsia="仿宋" w:cs="Times New Roman"/>
          <w:kern w:val="2"/>
          <w:sz w:val="28"/>
          <w:szCs w:val="24"/>
          <w:lang w:val="en-US" w:eastAsia="zh-CN"/>
        </w:rPr>
      </w:pPr>
    </w:p>
    <w:sectPr>
      <w:footerReference r:id="rId9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CCA797-0205-4FDD-9E5F-122F8025B93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2" w:fontKey="{AF0570E1-CF70-4FE2-ABB8-048F2067AC8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33B68B6-A19C-46FF-BBB1-4146DB3235D6}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行楷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4" w:fontKey="{E809EB8B-F936-498F-90D4-4578E93DFF5D}"/>
  </w:font>
  <w:font w:name="WPSEMBED1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459447">
    <w:pPr>
      <w:ind w:right="360"/>
      <w:rPr>
        <w:sz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163195</wp:posOffset>
              </wp:positionV>
              <wp:extent cx="5372100" cy="0"/>
              <wp:effectExtent l="0" t="4445" r="0" b="5080"/>
              <wp:wrapNone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2100" cy="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12.85pt;height:0pt;width:423pt;z-index:251659264;mso-width-relative:page;mso-height-relative:page;" filled="f" stroked="t" coordsize="21600,21600" o:allowincell="f" o:gfxdata="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qkYSz&#10;1AAAAAYBAAAPAAAAAAAAAAEAIAAAACIAAABkcnMvZG93bnJldi54bWxQSwECFAAUAAAACACHTuJA&#10;jYNuzuwBAADYAwAADgAAAAAAAAABACAAAAAjAQAAZHJzL2Uyb0RvYy54bWxQSwUGAAAAAAYABgBZ&#10;AQAAgQUAAAAA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671F25">
    <w:pPr>
      <w:ind w:right="360"/>
      <w:rPr>
        <w:sz w:val="18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163195</wp:posOffset>
              </wp:positionV>
              <wp:extent cx="5372100" cy="0"/>
              <wp:effectExtent l="0" t="4445" r="0" b="5080"/>
              <wp:wrapNone/>
              <wp:docPr id="9" name="直接连接符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2100" cy="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12.85pt;height:0pt;width:423pt;z-index:251660288;mso-width-relative:page;mso-height-relative:page;" filled="f" stroked="t" coordsize="21600,21600" o:allowincell="f" o:gfxdata="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OqRhLPU&#10;AAAABgEAAA8AAAAAAAAAAQAgAAAAIgAAAGRycy9kb3ducmV2LnhtbFBLAQIUABQAAAAIAIdO4kBg&#10;c75t6wEAANgDAAAOAAAAAAAAAAEAIAAAACMBAABkcnMvZTJvRG9jLnhtbFBLBQYAAAAABgAGAFkB&#10;AACA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BC503">
    <w:pPr>
      <w:ind w:right="360"/>
      <w:rPr>
        <w:sz w:val="1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8D1050">
                          <w:pPr>
                            <w:pStyle w:val="8"/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8D1050">
                    <w:pPr>
                      <w:pStyle w:val="8"/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  <w:t>2</w:t>
                    </w:r>
                    <w:r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163195</wp:posOffset>
              </wp:positionV>
              <wp:extent cx="5372100" cy="0"/>
              <wp:effectExtent l="0" t="4445" r="0" b="5080"/>
              <wp:wrapNone/>
              <wp:docPr id="30" name="直接连接符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2100" cy="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12.85pt;height:0pt;width:423pt;z-index:251661312;mso-width-relative:page;mso-height-relative:page;" filled="f" stroked="t" coordsize="21600,21600" o:allowincell="f" o:gfxdata="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6pGE&#10;s9QAAAAGAQAADwAAAAAAAAABACAAAAAiAAAAZHJzL2Rvd25yZXYueG1sUEsBAhQAFAAAAAgAh07i&#10;QJNjDa7tAQAA2gMAAA4AAAAAAAAAAQAgAAAAIwEAAGRycy9lMm9Eb2MueG1sUEsFBgAAAAAGAAYA&#10;WQEAAIIFAAAAAA=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FC0DC2">
    <w:pPr>
      <w:pStyle w:val="9"/>
      <w:jc w:val="both"/>
      <w:rPr>
        <w:rFonts w:hint="eastAsia" w:ascii="方正行楷_GBK" w:hAnsi="方正行楷_GBK" w:eastAsia="方正行楷_GBK" w:cs="方正行楷_GBK"/>
        <w:sz w:val="24"/>
        <w:szCs w:val="24"/>
        <w:lang w:val="en-US"/>
      </w:rPr>
    </w:pPr>
    <w:r>
      <w:rPr>
        <w:rFonts w:hint="eastAsia" w:ascii="方正行楷_GBK" w:hAnsi="方正行楷_GBK" w:eastAsia="方正行楷_GBK" w:cs="方正行楷_GBK"/>
        <w:b w:val="0"/>
        <w:bCs w:val="0"/>
        <w:sz w:val="24"/>
        <w:szCs w:val="24"/>
        <w:lang w:val="en-US" w:eastAsia="zh-CN"/>
      </w:rPr>
      <w:t>全疆实体CA互认登录注册操作手册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CA1C3">
    <w:pPr>
      <w:pStyle w:val="9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1200E9"/>
    <w:multiLevelType w:val="singleLevel"/>
    <w:tmpl w:val="8F1200E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784C1750"/>
    <w:multiLevelType w:val="singleLevel"/>
    <w:tmpl w:val="784C1750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7CFAA6E2"/>
    <w:multiLevelType w:val="multilevel"/>
    <w:tmpl w:val="7CFAA6E2"/>
    <w:lvl w:ilvl="0" w:tentative="0">
      <w:start w:val="1"/>
      <w:numFmt w:val="decimal"/>
      <w:pStyle w:val="3"/>
      <w:suff w:val="space"/>
      <w:lvlText w:val="%1."/>
      <w:lvlJc w:val="left"/>
      <w:pPr>
        <w:ind w:left="432" w:hanging="432"/>
      </w:pPr>
      <w:rPr>
        <w:rFonts w:hint="default" w:ascii="仿宋" w:hAnsi="仿宋" w:eastAsia="仿宋" w:cs="仿宋"/>
        <w:b/>
        <w:bCs/>
        <w:sz w:val="28"/>
        <w:szCs w:val="28"/>
      </w:rPr>
    </w:lvl>
    <w:lvl w:ilvl="1" w:tentative="0">
      <w:start w:val="1"/>
      <w:numFmt w:val="decimal"/>
      <w:pStyle w:val="4"/>
      <w:suff w:val="space"/>
      <w:lvlText w:val="%1.%2."/>
      <w:lvlJc w:val="left"/>
      <w:pPr>
        <w:ind w:left="575" w:hanging="575"/>
      </w:pPr>
      <w:rPr>
        <w:rFonts w:hint="default" w:ascii="仿宋" w:hAnsi="仿宋" w:eastAsia="仿宋" w:cs="仿宋"/>
        <w:b/>
        <w:bCs/>
        <w:sz w:val="28"/>
        <w:szCs w:val="28"/>
      </w:rPr>
    </w:lvl>
    <w:lvl w:ilvl="2" w:tentative="0">
      <w:start w:val="1"/>
      <w:numFmt w:val="decimal"/>
      <w:pStyle w:val="5"/>
      <w:suff w:val="space"/>
      <w:lvlText w:val="%1.%2.%3."/>
      <w:lvlJc w:val="left"/>
      <w:pPr>
        <w:ind w:left="1000" w:hanging="720"/>
      </w:pPr>
      <w:rPr>
        <w:rFonts w:hint="default" w:ascii="仿宋" w:hAnsi="仿宋" w:eastAsia="仿宋" w:cs="仿宋"/>
        <w:b/>
        <w:bCs/>
        <w:sz w:val="28"/>
        <w:szCs w:val="28"/>
      </w:rPr>
    </w:lvl>
    <w:lvl w:ilvl="3" w:tentative="0">
      <w:start w:val="1"/>
      <w:numFmt w:val="decimal"/>
      <w:lvlText w:val="%1.%2.%3.%4."/>
      <w:lvlJc w:val="left"/>
      <w:pPr>
        <w:ind w:left="1424" w:hanging="864"/>
      </w:pPr>
      <w:rPr>
        <w:rFonts w:hint="default" w:ascii="宋体" w:hAnsi="宋体" w:eastAsia="宋体" w:cs="宋体"/>
      </w:rPr>
    </w:lvl>
    <w:lvl w:ilvl="4" w:tentative="0">
      <w:start w:val="1"/>
      <w:numFmt w:val="decimal"/>
      <w:lvlText w:val="%1.%2.%3.%4.%5."/>
      <w:lvlJc w:val="left"/>
      <w:pPr>
        <w:ind w:left="156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zMjA5NzY2MTUyYTEwNTcxMDljMmU4MjIzOWE3M2MifQ=="/>
  </w:docVars>
  <w:rsids>
    <w:rsidRoot w:val="00000000"/>
    <w:rsid w:val="01A87AFF"/>
    <w:rsid w:val="02B74739"/>
    <w:rsid w:val="032F4374"/>
    <w:rsid w:val="03443858"/>
    <w:rsid w:val="037B196F"/>
    <w:rsid w:val="08907C6B"/>
    <w:rsid w:val="08940DDD"/>
    <w:rsid w:val="08A62997"/>
    <w:rsid w:val="08AE49F0"/>
    <w:rsid w:val="09A51A98"/>
    <w:rsid w:val="0AC104F6"/>
    <w:rsid w:val="0AE75B3C"/>
    <w:rsid w:val="0BE34045"/>
    <w:rsid w:val="0C0B5EE8"/>
    <w:rsid w:val="0C731AE9"/>
    <w:rsid w:val="0D4D670B"/>
    <w:rsid w:val="0DC91529"/>
    <w:rsid w:val="0DDC74AE"/>
    <w:rsid w:val="0DED5218"/>
    <w:rsid w:val="10261BFA"/>
    <w:rsid w:val="104C51C8"/>
    <w:rsid w:val="10F44B0F"/>
    <w:rsid w:val="11D87F8D"/>
    <w:rsid w:val="123F000C"/>
    <w:rsid w:val="13EC5F71"/>
    <w:rsid w:val="14607359"/>
    <w:rsid w:val="14EA425F"/>
    <w:rsid w:val="15E6711C"/>
    <w:rsid w:val="178A1D29"/>
    <w:rsid w:val="181B5077"/>
    <w:rsid w:val="18475E6C"/>
    <w:rsid w:val="193463F1"/>
    <w:rsid w:val="19406E2A"/>
    <w:rsid w:val="19F4792E"/>
    <w:rsid w:val="1B934E21"/>
    <w:rsid w:val="1C8C02F2"/>
    <w:rsid w:val="1CCF271B"/>
    <w:rsid w:val="1E0D1F6D"/>
    <w:rsid w:val="1E1D5C20"/>
    <w:rsid w:val="1E844BE4"/>
    <w:rsid w:val="1F204D21"/>
    <w:rsid w:val="20BE2EA1"/>
    <w:rsid w:val="211D59BC"/>
    <w:rsid w:val="218B57A1"/>
    <w:rsid w:val="23775858"/>
    <w:rsid w:val="245022C2"/>
    <w:rsid w:val="276E4688"/>
    <w:rsid w:val="28E5421B"/>
    <w:rsid w:val="293959C0"/>
    <w:rsid w:val="29C9048F"/>
    <w:rsid w:val="2B357DA0"/>
    <w:rsid w:val="2CD26499"/>
    <w:rsid w:val="2DF512AA"/>
    <w:rsid w:val="2E6115DE"/>
    <w:rsid w:val="30146BDF"/>
    <w:rsid w:val="33BF2903"/>
    <w:rsid w:val="35B93AAE"/>
    <w:rsid w:val="35D16252"/>
    <w:rsid w:val="35F745D6"/>
    <w:rsid w:val="363B0967"/>
    <w:rsid w:val="375F66BE"/>
    <w:rsid w:val="387737AC"/>
    <w:rsid w:val="3972294A"/>
    <w:rsid w:val="3A5169AB"/>
    <w:rsid w:val="3B675D5A"/>
    <w:rsid w:val="3C1F5D64"/>
    <w:rsid w:val="3C3C0F95"/>
    <w:rsid w:val="3C40543E"/>
    <w:rsid w:val="3D061630"/>
    <w:rsid w:val="3DB50FFF"/>
    <w:rsid w:val="3EC040FF"/>
    <w:rsid w:val="3F547E12"/>
    <w:rsid w:val="40C9725F"/>
    <w:rsid w:val="41642904"/>
    <w:rsid w:val="417A715B"/>
    <w:rsid w:val="41A5138A"/>
    <w:rsid w:val="42015FA7"/>
    <w:rsid w:val="43A0038F"/>
    <w:rsid w:val="442156C3"/>
    <w:rsid w:val="4AFF47E8"/>
    <w:rsid w:val="4B75781C"/>
    <w:rsid w:val="4C651E42"/>
    <w:rsid w:val="4F021BCA"/>
    <w:rsid w:val="4F823E66"/>
    <w:rsid w:val="4FAD411B"/>
    <w:rsid w:val="501145EF"/>
    <w:rsid w:val="5037434B"/>
    <w:rsid w:val="50C02208"/>
    <w:rsid w:val="532A4F6B"/>
    <w:rsid w:val="532E5683"/>
    <w:rsid w:val="54DC110F"/>
    <w:rsid w:val="554C0043"/>
    <w:rsid w:val="56091A90"/>
    <w:rsid w:val="56334D5F"/>
    <w:rsid w:val="563A433F"/>
    <w:rsid w:val="56FE35BF"/>
    <w:rsid w:val="58786725"/>
    <w:rsid w:val="58E81E30"/>
    <w:rsid w:val="5AF5026A"/>
    <w:rsid w:val="5AF745AD"/>
    <w:rsid w:val="5CAC1792"/>
    <w:rsid w:val="5D317A5C"/>
    <w:rsid w:val="5D5D3A43"/>
    <w:rsid w:val="5EF230E2"/>
    <w:rsid w:val="60AA20C1"/>
    <w:rsid w:val="614E5143"/>
    <w:rsid w:val="6290181F"/>
    <w:rsid w:val="62D203FF"/>
    <w:rsid w:val="63AD6150"/>
    <w:rsid w:val="64E015A0"/>
    <w:rsid w:val="64E656EF"/>
    <w:rsid w:val="6565364A"/>
    <w:rsid w:val="65BD2897"/>
    <w:rsid w:val="66B91024"/>
    <w:rsid w:val="67C2261D"/>
    <w:rsid w:val="692F3C76"/>
    <w:rsid w:val="6A7E1CBB"/>
    <w:rsid w:val="6B3E7899"/>
    <w:rsid w:val="6B7D28AC"/>
    <w:rsid w:val="6B817F21"/>
    <w:rsid w:val="6B8D0AC3"/>
    <w:rsid w:val="6CA351A2"/>
    <w:rsid w:val="6CE94E1E"/>
    <w:rsid w:val="6D3E47AB"/>
    <w:rsid w:val="6E387A72"/>
    <w:rsid w:val="6F0E7CBF"/>
    <w:rsid w:val="737B095C"/>
    <w:rsid w:val="74B12652"/>
    <w:rsid w:val="751678CE"/>
    <w:rsid w:val="758D7B90"/>
    <w:rsid w:val="75ED062E"/>
    <w:rsid w:val="767F622A"/>
    <w:rsid w:val="77086984"/>
    <w:rsid w:val="773A3F04"/>
    <w:rsid w:val="77F41852"/>
    <w:rsid w:val="784C7448"/>
    <w:rsid w:val="78E0447A"/>
    <w:rsid w:val="7B0C59FB"/>
    <w:rsid w:val="7BFA1CF7"/>
    <w:rsid w:val="7E91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adjustRightInd w:val="0"/>
      <w:spacing w:line="360" w:lineRule="auto"/>
      <w:ind w:left="0" w:leftChars="0"/>
      <w:jc w:val="both"/>
      <w:textAlignment w:val="baseline"/>
    </w:pPr>
    <w:rPr>
      <w:rFonts w:ascii="Tahoma" w:hAnsi="Tahoma" w:eastAsia="黑体" w:cs="Times New Roman"/>
      <w:kern w:val="24"/>
      <w:sz w:val="28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tabs>
        <w:tab w:val="left" w:pos="432"/>
      </w:tabs>
      <w:spacing w:before="340" w:after="330" w:line="578" w:lineRule="atLeast"/>
      <w:ind w:leftChars="0"/>
      <w:outlineLvl w:val="0"/>
    </w:pPr>
    <w:rPr>
      <w:b/>
      <w:bCs/>
      <w:sz w:val="44"/>
      <w:szCs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numPr>
        <w:ilvl w:val="1"/>
        <w:numId w:val="1"/>
      </w:numPr>
      <w:tabs>
        <w:tab w:val="left" w:pos="576"/>
      </w:tabs>
      <w:spacing w:before="260" w:after="260" w:line="416" w:lineRule="atLeast"/>
      <w:ind w:left="575" w:leftChars="0" w:hanging="575"/>
      <w:outlineLvl w:val="1"/>
    </w:pPr>
    <w:rPr>
      <w:rFonts w:eastAsia="宋体"/>
      <w:b/>
      <w:bCs/>
      <w:sz w:val="36"/>
      <w:szCs w:val="32"/>
    </w:rPr>
  </w:style>
  <w:style w:type="paragraph" w:styleId="5">
    <w:name w:val="heading 3"/>
    <w:basedOn w:val="1"/>
    <w:next w:val="1"/>
    <w:autoRedefine/>
    <w:qFormat/>
    <w:uiPriority w:val="0"/>
    <w:pPr>
      <w:keepNext/>
      <w:keepLines/>
      <w:numPr>
        <w:ilvl w:val="2"/>
        <w:numId w:val="1"/>
      </w:numPr>
      <w:tabs>
        <w:tab w:val="left" w:pos="720"/>
      </w:tabs>
      <w:spacing w:before="260" w:after="260" w:line="416" w:lineRule="auto"/>
      <w:ind w:leftChars="0"/>
      <w:outlineLvl w:val="2"/>
    </w:pPr>
    <w:rPr>
      <w:rFonts w:eastAsia="宋体"/>
      <w:b/>
      <w:bCs/>
      <w:sz w:val="32"/>
      <w:szCs w:val="32"/>
    </w:rPr>
  </w:style>
  <w:style w:type="character" w:default="1" w:styleId="15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6">
    <w:name w:val="caption"/>
    <w:basedOn w:val="1"/>
    <w:next w:val="1"/>
    <w:autoRedefine/>
    <w:qFormat/>
    <w:uiPriority w:val="0"/>
    <w:pPr>
      <w:adjustRightInd/>
      <w:spacing w:before="152" w:after="160"/>
      <w:jc w:val="center"/>
      <w:textAlignment w:val="auto"/>
    </w:pPr>
    <w:rPr>
      <w:rFonts w:ascii="宋体" w:hAnsi="宋体" w:eastAsia="宋体" w:cs="Arial"/>
      <w:kern w:val="2"/>
      <w:sz w:val="20"/>
    </w:rPr>
  </w:style>
  <w:style w:type="paragraph" w:styleId="7">
    <w:name w:val="toc 3"/>
    <w:basedOn w:val="1"/>
    <w:next w:val="1"/>
    <w:autoRedefine/>
    <w:qFormat/>
    <w:uiPriority w:val="39"/>
    <w:pPr>
      <w:ind w:left="840" w:leftChars="400"/>
    </w:p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toc 1"/>
    <w:basedOn w:val="1"/>
    <w:next w:val="1"/>
    <w:autoRedefine/>
    <w:qFormat/>
    <w:uiPriority w:val="39"/>
  </w:style>
  <w:style w:type="paragraph" w:styleId="11">
    <w:name w:val="toc 2"/>
    <w:basedOn w:val="1"/>
    <w:next w:val="1"/>
    <w:autoRedefine/>
    <w:qFormat/>
    <w:uiPriority w:val="39"/>
    <w:pPr>
      <w:ind w:left="420" w:leftChars="200"/>
    </w:pPr>
  </w:style>
  <w:style w:type="paragraph" w:styleId="12">
    <w:name w:val="Body Text First Indent"/>
    <w:basedOn w:val="2"/>
    <w:autoRedefine/>
    <w:qFormat/>
    <w:uiPriority w:val="0"/>
    <w:pPr>
      <w:adjustRightInd/>
      <w:spacing w:after="0"/>
      <w:ind w:firstLine="200" w:firstLineChars="200"/>
      <w:textAlignment w:val="auto"/>
    </w:pPr>
    <w:rPr>
      <w:kern w:val="2"/>
    </w:rPr>
  </w:style>
  <w:style w:type="table" w:styleId="14">
    <w:name w:val="Table Grid"/>
    <w:basedOn w:val="13"/>
    <w:autoRedefine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列表段落1"/>
    <w:basedOn w:val="1"/>
    <w:autoRedefine/>
    <w:qFormat/>
    <w:uiPriority w:val="34"/>
    <w:pPr>
      <w:ind w:firstLine="420" w:firstLineChars="200"/>
    </w:pPr>
    <w:rPr>
      <w:rFonts w:eastAsia="黑体"/>
      <w:sz w:val="32"/>
    </w:rPr>
  </w:style>
  <w:style w:type="paragraph" w:customStyle="1" w:styleId="17">
    <w:name w:val="封面标题"/>
    <w:basedOn w:val="1"/>
    <w:autoRedefine/>
    <w:qFormat/>
    <w:uiPriority w:val="0"/>
    <w:pPr>
      <w:adjustRightInd/>
      <w:jc w:val="center"/>
      <w:textAlignment w:val="auto"/>
    </w:pPr>
    <w:rPr>
      <w:rFonts w:eastAsia="华文新魏"/>
      <w:kern w:val="2"/>
      <w:sz w:val="5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0" Type="http://schemas.openxmlformats.org/officeDocument/2006/relationships/fontTable" Target="fontTable.xml"/><Relationship Id="rId5" Type="http://schemas.openxmlformats.org/officeDocument/2006/relationships/header" Target="header1.xml"/><Relationship Id="rId49" Type="http://schemas.openxmlformats.org/officeDocument/2006/relationships/numbering" Target="numbering.xml"/><Relationship Id="rId48" Type="http://schemas.openxmlformats.org/officeDocument/2006/relationships/customXml" Target="../customXml/item1.xml"/><Relationship Id="rId47" Type="http://schemas.openxmlformats.org/officeDocument/2006/relationships/image" Target="media/image37.png"/><Relationship Id="rId46" Type="http://schemas.openxmlformats.org/officeDocument/2006/relationships/image" Target="media/image36.png"/><Relationship Id="rId45" Type="http://schemas.openxmlformats.org/officeDocument/2006/relationships/image" Target="media/image35.png"/><Relationship Id="rId44" Type="http://schemas.openxmlformats.org/officeDocument/2006/relationships/image" Target="media/image34.png"/><Relationship Id="rId43" Type="http://schemas.openxmlformats.org/officeDocument/2006/relationships/image" Target="media/image33.png"/><Relationship Id="rId42" Type="http://schemas.openxmlformats.org/officeDocument/2006/relationships/image" Target="media/image32.png"/><Relationship Id="rId41" Type="http://schemas.openxmlformats.org/officeDocument/2006/relationships/image" Target="media/image31.png"/><Relationship Id="rId40" Type="http://schemas.openxmlformats.org/officeDocument/2006/relationships/image" Target="media/image30.png"/><Relationship Id="rId4" Type="http://schemas.openxmlformats.org/officeDocument/2006/relationships/endnotes" Target="endnotes.xml"/><Relationship Id="rId39" Type="http://schemas.openxmlformats.org/officeDocument/2006/relationships/image" Target="media/image29.png"/><Relationship Id="rId38" Type="http://schemas.openxmlformats.org/officeDocument/2006/relationships/image" Target="media/image28.png"/><Relationship Id="rId37" Type="http://schemas.openxmlformats.org/officeDocument/2006/relationships/image" Target="media/image27.png"/><Relationship Id="rId36" Type="http://schemas.openxmlformats.org/officeDocument/2006/relationships/image" Target="media/image26.png"/><Relationship Id="rId35" Type="http://schemas.openxmlformats.org/officeDocument/2006/relationships/image" Target="media/image25.png"/><Relationship Id="rId34" Type="http://schemas.openxmlformats.org/officeDocument/2006/relationships/image" Target="media/image24.png"/><Relationship Id="rId33" Type="http://schemas.openxmlformats.org/officeDocument/2006/relationships/image" Target="media/image23.png"/><Relationship Id="rId32" Type="http://schemas.openxmlformats.org/officeDocument/2006/relationships/image" Target="media/image22.png"/><Relationship Id="rId31" Type="http://schemas.openxmlformats.org/officeDocument/2006/relationships/image" Target="media/image21.png"/><Relationship Id="rId30" Type="http://schemas.openxmlformats.org/officeDocument/2006/relationships/image" Target="media/image20.png"/><Relationship Id="rId3" Type="http://schemas.openxmlformats.org/officeDocument/2006/relationships/footnotes" Target="footnotes.xml"/><Relationship Id="rId29" Type="http://schemas.openxmlformats.org/officeDocument/2006/relationships/image" Target="media/image19.png"/><Relationship Id="rId28" Type="http://schemas.openxmlformats.org/officeDocument/2006/relationships/image" Target="media/image18.png"/><Relationship Id="rId27" Type="http://schemas.openxmlformats.org/officeDocument/2006/relationships/image" Target="media/image17.png"/><Relationship Id="rId26" Type="http://schemas.openxmlformats.org/officeDocument/2006/relationships/image" Target="media/image16.png"/><Relationship Id="rId25" Type="http://schemas.openxmlformats.org/officeDocument/2006/relationships/image" Target="media/image15.png"/><Relationship Id="rId24" Type="http://schemas.openxmlformats.org/officeDocument/2006/relationships/image" Target="media/image14.png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1391</Words>
  <Characters>2035</Characters>
  <Lines>0</Lines>
  <Paragraphs>0</Paragraphs>
  <TotalTime>446</TotalTime>
  <ScaleCrop>false</ScaleCrop>
  <LinksUpToDate>false</LinksUpToDate>
  <CharactersWithSpaces>2132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2023-12-14T07:56:00Z</dcterms:created>
  <dc:creator>Healer</dc:creator>
  <cp:lastModifiedBy>Epoint</cp:lastModifiedBy>
  <dcterms:modified xsi:type="dcterms:W3CDTF">2026-07-23T12:26:28Z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66C8757F3E22416896A87C8528B40D23_13</vt:lpwstr>
  </property>
  <property fmtid="{D5CDD505-2E9C-101B-9397-08002B2CF9AE}" pid="4" name="KSOTemplateDocerSaveRecord">
    <vt:lpwstr>eyJoZGlkIjoiNzY4MGY2ODQ1M2ZiZTA2NTgyYzM5MWNhNWZhNzBlYWEiLCJ1c2VySWQiOiIxMDU0NDEwMTgwIn0=</vt:lpwstr>
  </property>
</Properties>
</file>