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3FE30">
      <w:p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rPr>
          <w:rFonts w:hint="eastAsia"/>
          <w:b/>
          <w:bCs/>
        </w:rPr>
      </w:pPr>
      <w:bookmarkStart w:id="0" w:name="_Toc7179"/>
      <w:bookmarkStart w:id="1" w:name="_Toc1624367956"/>
      <w:bookmarkStart w:id="2" w:name="_Toc470775867"/>
      <w:bookmarkStart w:id="3" w:name="_Toc512442562"/>
    </w:p>
    <w:p w14:paraId="270DAE17">
      <w:pPr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EE7994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64484E7E">
      <w:pPr>
        <w:pStyle w:val="2"/>
        <w:jc w:val="center"/>
        <w:rPr>
          <w:rFonts w:hint="eastAsia"/>
        </w:rPr>
      </w:pPr>
    </w:p>
    <w:p w14:paraId="2D32A5E7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黑体" w:hAnsi="黑体" w:cs="黑体"/>
          <w:b/>
          <w:bCs/>
          <w:sz w:val="72"/>
          <w:szCs w:val="72"/>
          <w:lang w:val="en-US" w:eastAsia="zh-CN"/>
        </w:rPr>
      </w:pPr>
      <w:r>
        <w:rPr>
          <w:rFonts w:hint="eastAsia" w:ascii="黑体" w:hAnsi="黑体" w:cs="黑体"/>
          <w:b/>
          <w:bCs/>
          <w:sz w:val="72"/>
          <w:szCs w:val="72"/>
          <w:lang w:val="en-US" w:eastAsia="zh-CN"/>
        </w:rPr>
        <w:t>新疆互联互通版实体CA</w:t>
      </w:r>
    </w:p>
    <w:p w14:paraId="22ECFC94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  <w:r>
        <w:rPr>
          <w:rFonts w:hint="eastAsia" w:ascii="黑体" w:hAnsi="黑体" w:cs="黑体"/>
          <w:b/>
          <w:bCs/>
          <w:sz w:val="72"/>
          <w:szCs w:val="72"/>
          <w:lang w:val="en-US" w:eastAsia="zh-CN"/>
        </w:rPr>
        <w:t>操作手册</w:t>
      </w:r>
    </w:p>
    <w:p w14:paraId="3125B935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7C33B515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172035C3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0F1F9C5D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66930B68">
      <w:pPr>
        <w:pStyle w:val="17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54D917F6">
      <w:pPr>
        <w:pStyle w:val="17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rPr>
          <w:rFonts w:hint="eastAsia" w:ascii="宋体" w:hAnsi="宋体" w:eastAsia="宋体" w:cs="宋体"/>
          <w:sz w:val="28"/>
          <w:szCs w:val="28"/>
          <w:highlight w:val="none"/>
        </w:rPr>
      </w:pPr>
    </w:p>
    <w:p w14:paraId="47D00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360" w:lineRule="auto"/>
        <w:jc w:val="center"/>
        <w:textAlignment w:val="baseline"/>
        <w:rPr>
          <w:rFonts w:hint="default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202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年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</w:rPr>
        <w:t>月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25日</w:t>
      </w:r>
    </w:p>
    <w:p w14:paraId="2EC3A1BC">
      <w:pPr>
        <w:kinsoku/>
        <w:wordWrap/>
        <w:overflowPunct/>
        <w:topLinePunct w:val="0"/>
        <w:autoSpaceDE/>
        <w:autoSpaceDN/>
        <w:bidi w:val="0"/>
        <w:spacing w:line="360" w:lineRule="auto"/>
        <w:jc w:val="both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</w:pPr>
    </w:p>
    <w:p w14:paraId="38BEB9DB">
      <w:pPr>
        <w:pStyle w:val="2"/>
        <w:kinsoku/>
        <w:wordWrap/>
        <w:overflowPunct/>
        <w:topLinePunct w:val="0"/>
        <w:autoSpaceDE/>
        <w:autoSpaceDN/>
        <w:bidi w:val="0"/>
        <w:spacing w:line="360" w:lineRule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titlePg/>
        </w:sectPr>
      </w:pPr>
    </w:p>
    <w:sdt>
      <w:sdtPr>
        <w:rPr>
          <w:rFonts w:hint="eastAsia" w:ascii="仿宋" w:hAnsi="仿宋" w:eastAsia="仿宋" w:cs="仿宋"/>
          <w:kern w:val="24"/>
          <w:sz w:val="28"/>
          <w:szCs w:val="28"/>
          <w:lang w:val="en-US" w:eastAsia="zh-CN" w:bidi="ar-SA"/>
        </w:rPr>
        <w:id w:val="147475403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kern w:val="24"/>
          <w:sz w:val="32"/>
          <w:szCs w:val="32"/>
          <w:highlight w:val="none"/>
          <w:lang w:val="en-US" w:eastAsia="zh-CN" w:bidi="ar-SA"/>
        </w:rPr>
      </w:sdtEndPr>
      <w:sdtContent>
        <w:p w14:paraId="401B24DC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/>
            <w:spacing w:before="0" w:after="0" w:afterLines="0" w:line="560" w:lineRule="exact"/>
            <w:ind w:left="0" w:leftChars="0" w:right="0" w:rightChars="0" w:firstLine="0" w:firstLineChars="0"/>
            <w:jc w:val="center"/>
            <w:textAlignment w:val="baseline"/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目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lang w:val="en-US" w:eastAsia="zh-CN"/>
            </w:rPr>
            <w:t xml:space="preserve">  </w: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</w:rPr>
            <w:t>录</w:t>
          </w:r>
        </w:p>
        <w:p w14:paraId="74CF2BD1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instrText xml:space="preserve">TOC \o "1-3" \h \u </w:instrText>
          </w:r>
          <w:r>
            <w:rPr>
              <w:rFonts w:hint="eastAsia" w:ascii="仿宋" w:hAnsi="仿宋" w:eastAsia="仿宋" w:cs="仿宋"/>
              <w:b w:val="0"/>
              <w:bCs w:val="0"/>
              <w:sz w:val="28"/>
              <w:szCs w:val="28"/>
              <w:highlight w:val="none"/>
            </w:rPr>
            <w:fldChar w:fldCharType="separate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_Toc30902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1.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登录说明</w:t>
          </w:r>
          <w:r>
            <w:tab/>
          </w:r>
          <w:r>
            <w:fldChar w:fldCharType="begin"/>
          </w:r>
          <w:r>
            <w:instrText xml:space="preserve"> PAGEREF _Toc30902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405F4CF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_Toc12399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1.1.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登录方式</w:t>
          </w:r>
          <w:r>
            <w:tab/>
          </w:r>
          <w:r>
            <w:fldChar w:fldCharType="begin"/>
          </w:r>
          <w:r>
            <w:instrText xml:space="preserve"> PAGEREF _Toc12399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DA7B444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_Toc2128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1.2. </w:t>
          </w:r>
          <w:r>
            <w:rPr>
              <w:rFonts w:hint="eastAsia" w:ascii="仿宋" w:hAnsi="仿宋" w:eastAsia="仿宋" w:cs="仿宋"/>
              <w:bCs w:val="0"/>
              <w:kern w:val="24"/>
              <w:szCs w:val="28"/>
              <w:highlight w:val="none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_Toc2128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72B408AB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_Toc1148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1.3. </w:t>
          </w:r>
          <w:r>
            <w:rPr>
              <w:rFonts w:hint="eastAsia" w:ascii="仿宋" w:hAnsi="仿宋" w:eastAsia="仿宋" w:cs="仿宋"/>
              <w:bCs w:val="0"/>
              <w:kern w:val="24"/>
              <w:szCs w:val="28"/>
              <w:highlight w:val="none"/>
              <w:lang w:val="en-US" w:eastAsia="zh-CN" w:bidi="ar-SA"/>
            </w:rPr>
            <w:t>问题联系方式</w:t>
          </w:r>
          <w:r>
            <w:tab/>
          </w:r>
          <w:r>
            <w:fldChar w:fldCharType="begin"/>
          </w:r>
          <w:r>
            <w:instrText xml:space="preserve"> PAGEREF _Toc1148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2E1E883E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_Toc16832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登录方式一</w:t>
          </w:r>
          <w:r>
            <w:tab/>
          </w:r>
          <w:r>
            <w:fldChar w:fldCharType="begin"/>
          </w:r>
          <w:r>
            <w:instrText xml:space="preserve"> PAGEREF _Toc16832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9E9873D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_Toc32013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 </w:t>
          </w:r>
          <w:r>
            <w:rPr>
              <w:rFonts w:hint="eastAsia" w:ascii="仿宋" w:hAnsi="仿宋" w:eastAsia="仿宋" w:cs="仿宋"/>
              <w:szCs w:val="28"/>
            </w:rPr>
            <w:t>登录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全疆CA互认</w:t>
          </w:r>
          <w:r>
            <w:rPr>
              <w:rFonts w:hint="eastAsia" w:ascii="仿宋" w:hAnsi="仿宋" w:eastAsia="仿宋" w:cs="仿宋"/>
              <w:szCs w:val="28"/>
            </w:rPr>
            <w:t>平台</w:t>
          </w:r>
          <w:r>
            <w:tab/>
          </w:r>
          <w:r>
            <w:fldChar w:fldCharType="begin"/>
          </w:r>
          <w:r>
            <w:instrText xml:space="preserve"> PAGEREF _Toc32013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4D67110D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_Toc6280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2.1.1. </w:t>
          </w:r>
          <w:r>
            <w:rPr>
              <w:rFonts w:hint="eastAsia" w:ascii="仿宋" w:hAnsi="仿宋" w:eastAsia="仿宋" w:cs="仿宋"/>
              <w:szCs w:val="28"/>
            </w:rPr>
            <w:t>证书登录</w:t>
          </w:r>
          <w:r>
            <w:tab/>
          </w:r>
          <w:r>
            <w:fldChar w:fldCharType="begin"/>
          </w:r>
          <w:r>
            <w:instrText xml:space="preserve"> PAGEREF _Toc6280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EF38473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_Toc10721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2.1.2. </w:t>
          </w:r>
          <w:r>
            <w:rPr>
              <w:rFonts w:hint="eastAsia" w:ascii="仿宋" w:hAnsi="仿宋" w:eastAsia="仿宋" w:cs="仿宋"/>
              <w:szCs w:val="28"/>
            </w:rPr>
            <w:t>账号登录</w:t>
          </w:r>
          <w:r>
            <w:tab/>
          </w:r>
          <w:r>
            <w:fldChar w:fldCharType="begin"/>
          </w:r>
          <w:r>
            <w:instrText xml:space="preserve"> PAGEREF _Toc10721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325C415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_Toc9899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2.2. </w:t>
          </w:r>
          <w:r>
            <w:rPr>
              <w:rFonts w:hint="eastAsia" w:ascii="仿宋" w:hAnsi="仿宋" w:eastAsia="仿宋" w:cs="仿宋"/>
              <w:szCs w:val="28"/>
            </w:rPr>
            <w:t>平台首页</w:t>
          </w:r>
          <w:r>
            <w:tab/>
          </w:r>
          <w:r>
            <w:fldChar w:fldCharType="begin"/>
          </w:r>
          <w:r>
            <w:instrText xml:space="preserve"> PAGEREF _Toc9899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D56E1E2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_Toc18751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2.3.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个人证书</w:t>
          </w:r>
          <w:r>
            <w:tab/>
          </w:r>
          <w:r>
            <w:fldChar w:fldCharType="begin"/>
          </w:r>
          <w:r>
            <w:instrText xml:space="preserve"> PAGEREF _Toc18751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2FA8EEA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_Toc21591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2.4.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退出登录</w:t>
          </w:r>
          <w:r>
            <w:tab/>
          </w:r>
          <w:r>
            <w:fldChar w:fldCharType="begin"/>
          </w:r>
          <w:r>
            <w:instrText xml:space="preserve"> PAGEREF _Toc21591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3179E17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_Toc24961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2.5.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通知公告</w:t>
          </w:r>
          <w:r>
            <w:tab/>
          </w:r>
          <w:r>
            <w:fldChar w:fldCharType="begin"/>
          </w:r>
          <w:r>
            <w:instrText xml:space="preserve"> PAGEREF _Toc24961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3EB95A4E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_Toc23010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2.6.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驱动下载</w:t>
          </w:r>
          <w:r>
            <w:tab/>
          </w:r>
          <w:r>
            <w:fldChar w:fldCharType="begin"/>
          </w:r>
          <w:r>
            <w:instrText xml:space="preserve"> PAGEREF _Toc23010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783A03F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_Toc20376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2.7. 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进入平台</w:t>
          </w:r>
          <w:r>
            <w:tab/>
          </w:r>
          <w:r>
            <w:fldChar w:fldCharType="begin"/>
          </w:r>
          <w:r>
            <w:instrText xml:space="preserve"> PAGEREF _Toc20376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3C0B0CA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_Toc22170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登录方式二</w:t>
          </w:r>
          <w:r>
            <w:tab/>
          </w:r>
          <w:r>
            <w:fldChar w:fldCharType="begin"/>
          </w:r>
          <w:r>
            <w:instrText xml:space="preserve"> PAGEREF _Toc22170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77F4110D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_Toc15128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3.1. </w:t>
          </w:r>
          <w:r>
            <w:rPr>
              <w:rFonts w:hint="eastAsia" w:ascii="仿宋" w:hAnsi="仿宋" w:eastAsia="仿宋" w:cs="仿宋"/>
              <w:szCs w:val="28"/>
            </w:rPr>
            <w:t>登录</w:t>
          </w:r>
          <w:r>
            <w:rPr>
              <w:rFonts w:hint="eastAsia" w:ascii="仿宋" w:hAnsi="仿宋" w:eastAsia="仿宋" w:cs="仿宋"/>
              <w:szCs w:val="28"/>
              <w:lang w:val="en-US" w:eastAsia="zh-CN"/>
            </w:rPr>
            <w:t>各级公共资源交易平台</w:t>
          </w:r>
          <w:r>
            <w:tab/>
          </w:r>
          <w:r>
            <w:fldChar w:fldCharType="begin"/>
          </w:r>
          <w:r>
            <w:instrText xml:space="preserve"> PAGEREF _Toc15128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47142C9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_Toc19263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</w:rPr>
            <w:t xml:space="preserve">3.2. </w:t>
          </w:r>
          <w:r>
            <w:rPr>
              <w:rFonts w:hint="eastAsia" w:ascii="仿宋" w:hAnsi="仿宋" w:eastAsia="仿宋" w:cs="仿宋"/>
              <w:szCs w:val="28"/>
            </w:rPr>
            <w:t>准备工作</w:t>
          </w:r>
          <w:r>
            <w:tab/>
          </w:r>
          <w:r>
            <w:fldChar w:fldCharType="begin"/>
          </w:r>
          <w:r>
            <w:instrText xml:space="preserve"> PAGEREF _Toc19263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880A793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_Toc9046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szCs w:val="28"/>
              <w:lang w:val="en-US" w:eastAsia="zh-CN"/>
            </w:rPr>
            <w:t xml:space="preserve">3.2.1. </w:t>
          </w:r>
          <w:r>
            <w:rPr>
              <w:rFonts w:hint="eastAsia" w:cs="Times New Roman"/>
              <w:szCs w:val="28"/>
              <w:lang w:val="en-US" w:eastAsia="zh-CN"/>
            </w:rPr>
            <w:t>系统软硬件要求</w:t>
          </w:r>
          <w:r>
            <w:tab/>
          </w:r>
          <w:r>
            <w:fldChar w:fldCharType="begin"/>
          </w:r>
          <w:r>
            <w:instrText xml:space="preserve"> PAGEREF _Toc9046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6B3693AD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_Toc32029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3.2.2.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兼容性视图</w:t>
          </w:r>
          <w:r>
            <w:tab/>
          </w:r>
          <w:r>
            <w:fldChar w:fldCharType="begin"/>
          </w:r>
          <w:r>
            <w:instrText xml:space="preserve"> PAGEREF _Toc32029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60FD6B8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_Toc5773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3.2.3.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可信任站点</w:t>
          </w:r>
          <w:r>
            <w:tab/>
          </w:r>
          <w:r>
            <w:fldChar w:fldCharType="begin"/>
          </w:r>
          <w:r>
            <w:instrText xml:space="preserve"> PAGEREF _Toc5773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17B86BC">
          <w:pPr>
            <w:pStyle w:val="7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_Toc12064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3.2.4. </w:t>
          </w:r>
          <w:r>
            <w:rPr>
              <w:rFonts w:hint="eastAsia" w:ascii="Tahoma" w:hAnsi="Tahoma" w:eastAsia="宋体" w:cs="Times New Roman"/>
              <w:bCs w:val="0"/>
              <w:kern w:val="24"/>
              <w:szCs w:val="28"/>
              <w:lang w:val="en-US" w:eastAsia="zh-CN" w:bidi="ar-SA"/>
            </w:rPr>
            <w:t xml:space="preserve">activeX </w:t>
          </w:r>
          <w:r>
            <w:rPr>
              <w:rFonts w:hint="eastAsia" w:ascii="Tahoma" w:hAnsi="Tahoma" w:eastAsia="宋体" w:cs="Times New Roman"/>
              <w:bCs/>
              <w:kern w:val="24"/>
              <w:szCs w:val="28"/>
              <w:lang w:val="en-US" w:eastAsia="zh-CN" w:bidi="ar-SA"/>
            </w:rPr>
            <w:t>控件</w:t>
          </w:r>
          <w:r>
            <w:tab/>
          </w:r>
          <w:r>
            <w:fldChar w:fldCharType="begin"/>
          </w:r>
          <w:r>
            <w:instrText xml:space="preserve"> PAGEREF _Toc12064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0F021A83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_Toc27440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3.3.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驱动安装说明</w:t>
          </w:r>
          <w:r>
            <w:tab/>
          </w:r>
          <w:r>
            <w:fldChar w:fldCharType="begin"/>
          </w:r>
          <w:r>
            <w:instrText xml:space="preserve"> PAGEREF _Toc27440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4B7B6E49">
          <w:pPr>
            <w:pStyle w:val="11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begin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instrText xml:space="preserve"> HYPERLINK \l _Toc18519 </w:instrText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separate"/>
          </w:r>
          <w:r>
            <w:rPr>
              <w:rFonts w:hint="default" w:ascii="仿宋" w:hAnsi="仿宋" w:eastAsia="仿宋" w:cs="仿宋"/>
              <w:bCs/>
              <w:kern w:val="24"/>
              <w:szCs w:val="28"/>
              <w:lang w:val="en-US" w:eastAsia="zh-CN" w:bidi="ar-SA"/>
            </w:rPr>
            <w:t xml:space="preserve">3.4. </w:t>
          </w:r>
          <w:r>
            <w:rPr>
              <w:rFonts w:hint="eastAsia" w:ascii="仿宋" w:hAnsi="仿宋" w:eastAsia="仿宋" w:cs="仿宋"/>
              <w:bCs/>
              <w:kern w:val="24"/>
              <w:szCs w:val="28"/>
              <w:lang w:val="en-US" w:eastAsia="zh-CN" w:bidi="ar-SA"/>
            </w:rPr>
            <w:t>注册登陆</w:t>
          </w:r>
          <w:r>
            <w:tab/>
          </w:r>
          <w:r>
            <w:fldChar w:fldCharType="begin"/>
          </w:r>
          <w:r>
            <w:instrText xml:space="preserve"> PAGEREF _Toc18519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  <w:p w14:paraId="13DD6BA5">
          <w:pPr>
            <w:pStyle w:val="10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/>
            <w:spacing w:line="560" w:lineRule="exact"/>
            <w:textAlignment w:val="baseline"/>
            <w:rPr>
              <w:rFonts w:hint="eastAsia" w:ascii="仿宋" w:hAnsi="仿宋" w:eastAsia="仿宋" w:cs="仿宋"/>
              <w:sz w:val="32"/>
              <w:szCs w:val="32"/>
              <w:highlight w:val="none"/>
            </w:rPr>
            <w:sectPr>
              <w:footerReference r:id="rId8" w:type="default"/>
              <w:pgSz w:w="11906" w:h="16838"/>
              <w:pgMar w:top="1440" w:right="1800" w:bottom="1440" w:left="1800" w:header="851" w:footer="992" w:gutter="0"/>
              <w:pgNumType w:start="1"/>
              <w:cols w:space="720" w:num="1"/>
            </w:sectPr>
          </w:pPr>
          <w:r>
            <w:rPr>
              <w:rFonts w:hint="eastAsia" w:ascii="仿宋" w:hAnsi="仿宋" w:eastAsia="仿宋" w:cs="仿宋"/>
              <w:bCs w:val="0"/>
              <w:szCs w:val="28"/>
              <w:highlight w:val="none"/>
            </w:rPr>
            <w:fldChar w:fldCharType="end"/>
          </w:r>
        </w:p>
      </w:sdtContent>
    </w:sdt>
    <w:bookmarkEnd w:id="0"/>
    <w:bookmarkEnd w:id="1"/>
    <w:bookmarkEnd w:id="2"/>
    <w:bookmarkEnd w:id="3"/>
    <w:p w14:paraId="12D62E66">
      <w:pPr>
        <w:pStyle w:val="3"/>
        <w:keepNext/>
        <w:keepLines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4" w:name="_Toc3090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登录说明</w:t>
      </w:r>
      <w:bookmarkEnd w:id="4"/>
    </w:p>
    <w:p w14:paraId="34498FA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5" w:name="_Toc1239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登录方式</w:t>
      </w:r>
      <w:bookmarkEnd w:id="5"/>
    </w:p>
    <w:p w14:paraId="6A96C4ED">
      <w:pPr>
        <w:ind w:firstLine="560" w:firstLineChars="200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交易主体选择CA机构办理并激活实体CA锁后，即可在自治区本级、14个地（州、市）公共资源交易平台开展业务，即通过一套CA完成全疆范围内各级交易平台公共资源交易业务。</w:t>
      </w:r>
    </w:p>
    <w:p w14:paraId="15CD6D3D">
      <w:pPr>
        <w:ind w:firstLine="560" w:firstLineChars="200"/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开展业务时可以通过以下两种方式登录自治区、地（州、市）两级交易平台：</w:t>
      </w:r>
    </w:p>
    <w:p w14:paraId="36462C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default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  <w:t>登录方式一：先登录自治区CA证书和电子签章互认平台（https://sign.silksign.cn:30080），从平台中快捷跳转全疆各级交易平台。</w:t>
      </w:r>
    </w:p>
    <w:p w14:paraId="3FD7A97C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/>
        <w:textAlignment w:val="baseline"/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28"/>
          <w:szCs w:val="28"/>
          <w:highlight w:val="none"/>
          <w:lang w:val="en-US" w:eastAsia="zh-CN" w:bidi="ar-SA"/>
        </w:rPr>
        <w:t>登录方式二：直接进入全疆各级交易平台。</w:t>
      </w:r>
    </w:p>
    <w:p w14:paraId="3297D7E5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6" w:name="_Toc2128"/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注意事项</w:t>
      </w:r>
      <w:bookmarkEnd w:id="6"/>
    </w:p>
    <w:p w14:paraId="115601CF">
      <w:pPr>
        <w:pStyle w:val="2"/>
        <w:ind w:firstLine="560" w:firstLineChars="200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通过实体CA锁登录自治区CA互认平台或自治区、地（州、市）两级交易平台，均需要下载安装新疆互联互通版CA驱动，进入交易平台时还需配置电脑浏览器（IE浏览器或EDG浏览器的IE模式），避免无法读取CA锁。</w:t>
      </w:r>
    </w:p>
    <w:p w14:paraId="485B2F4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bookmarkStart w:id="7" w:name="_Toc1148"/>
      <w:r>
        <w:rPr>
          <w:rFonts w:hint="eastAsia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t>问题联系方式</w:t>
      </w:r>
      <w:bookmarkEnd w:id="7"/>
    </w:p>
    <w:p w14:paraId="3C3CA74A">
      <w:pPr>
        <w:rPr>
          <w:rFonts w:hint="eastAsia"/>
          <w:lang w:val="en-US" w:eastAsia="zh-CN"/>
        </w:rPr>
      </w:pPr>
    </w:p>
    <w:p w14:paraId="43760C12">
      <w:pPr>
        <w:pStyle w:val="2"/>
        <w:ind w:firstLine="723" w:firstLineChars="200"/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CA互认平台客服：400-0921-999</w:t>
      </w:r>
    </w:p>
    <w:p w14:paraId="52CC7164">
      <w:pPr>
        <w:pStyle w:val="2"/>
        <w:ind w:firstLine="723" w:firstLineChars="200"/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各级交易平台：0512-58188553</w:t>
      </w:r>
      <w:r>
        <w:rPr>
          <w:rFonts w:hint="default" w:ascii="仿宋" w:hAnsi="仿宋" w:eastAsia="仿宋" w:cs="仿宋"/>
          <w:b/>
          <w:bCs/>
          <w:color w:val="FF0000"/>
          <w:kern w:val="24"/>
          <w:sz w:val="36"/>
          <w:szCs w:val="36"/>
          <w:highlight w:val="none"/>
          <w:lang w:val="en-US" w:eastAsia="zh-CN" w:bidi="ar-SA"/>
        </w:rPr>
        <w:t> </w:t>
      </w:r>
    </w:p>
    <w:p w14:paraId="0EBBC962">
      <w:pPr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kern w:val="24"/>
          <w:sz w:val="28"/>
          <w:szCs w:val="28"/>
          <w:highlight w:val="none"/>
          <w:lang w:val="en-US" w:eastAsia="zh-CN" w:bidi="ar-SA"/>
        </w:rPr>
        <w:br w:type="page"/>
      </w:r>
    </w:p>
    <w:p w14:paraId="62B6276B">
      <w:pPr>
        <w:pStyle w:val="3"/>
        <w:keepNext/>
        <w:keepLines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8" w:name="_Toc1683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登录方式一</w:t>
      </w:r>
      <w:bookmarkEnd w:id="8"/>
    </w:p>
    <w:p w14:paraId="1D131C2D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9" w:name="_Toc22800"/>
      <w:bookmarkStart w:id="10" w:name="_Toc32013"/>
      <w:bookmarkStart w:id="11" w:name="_Toc2025470637"/>
      <w:bookmarkStart w:id="12" w:name="_Toc11977"/>
      <w:r>
        <w:rPr>
          <w:rFonts w:hint="eastAsia" w:ascii="仿宋" w:hAnsi="仿宋" w:eastAsia="仿宋" w:cs="仿宋"/>
          <w:sz w:val="28"/>
          <w:szCs w:val="28"/>
        </w:rPr>
        <w:t>登录</w:t>
      </w:r>
      <w:bookmarkEnd w:id="9"/>
      <w:bookmarkEnd w:id="10"/>
      <w:bookmarkEnd w:id="11"/>
      <w:bookmarkEnd w:id="1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自治区CA证书和电子签章互认平台</w:t>
      </w:r>
    </w:p>
    <w:p w14:paraId="7CFFB81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打开浏览器，输入网址（https://sign.silksign.cn:30080），登录CA证书和电子签章互认平台，平台界面如下图所示。</w:t>
      </w:r>
    </w:p>
    <w:p w14:paraId="64F0AFA5">
      <w:pPr>
        <w:pStyle w:val="2"/>
        <w:spacing w:line="240" w:lineRule="auto"/>
        <w:jc w:val="center"/>
        <w:rPr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97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登录界面说明：登录分为证书登录（实体CA登录）、账号密码登录、手机号登录和扫码登录，目前主要使用证书登录。</w:t>
      </w:r>
    </w:p>
    <w:p w14:paraId="3B0BD09D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3" w:name="_Toc21706"/>
      <w:bookmarkStart w:id="14" w:name="_Toc6280"/>
      <w:r>
        <w:rPr>
          <w:rFonts w:hint="eastAsia" w:ascii="仿宋" w:hAnsi="仿宋" w:eastAsia="仿宋" w:cs="仿宋"/>
          <w:sz w:val="28"/>
          <w:szCs w:val="28"/>
        </w:rPr>
        <w:t>证书登录</w:t>
      </w:r>
      <w:bookmarkEnd w:id="13"/>
      <w:bookmarkEnd w:id="14"/>
      <w:r>
        <w:rPr>
          <w:rFonts w:hint="eastAsia" w:ascii="仿宋" w:hAnsi="仿宋" w:eastAsia="仿宋" w:cs="仿宋"/>
          <w:sz w:val="28"/>
          <w:szCs w:val="28"/>
        </w:rPr>
        <w:t>（实体CA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 w14:paraId="0D09F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2" w:firstLineChars="200"/>
        <w:textAlignment w:val="baseline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证书登录前需要下载安装新疆互联互通版CA驱动！</w:t>
      </w:r>
    </w:p>
    <w:p w14:paraId="29981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点击驱动下载或者下方查看下载证书UKey驱动及操作手册</w:t>
      </w:r>
    </w:p>
    <w:p w14:paraId="68EF606C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16200"/>
            <wp:effectExtent l="0" t="0" r="18415" b="12700"/>
            <wp:docPr id="3" name="图片 3" descr="1702868495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286849566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F8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点击后，弹框内点击下载。</w:t>
      </w:r>
    </w:p>
    <w:p w14:paraId="322D126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565400"/>
            <wp:effectExtent l="0" t="0" r="15240" b="6350"/>
            <wp:docPr id="4" name="图片 4" descr="170286859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2868592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9EFB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下载后，打开套件</w:t>
      </w:r>
    </w:p>
    <w:p w14:paraId="4007D118">
      <w:pPr>
        <w:pStyle w:val="2"/>
      </w:pPr>
      <w:r>
        <w:drawing>
          <wp:inline distT="0" distB="0" distL="114300" distR="114300">
            <wp:extent cx="1314450" cy="11811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7954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点击下一步，点击安装。</w:t>
      </w:r>
    </w:p>
    <w:p w14:paraId="180639DE">
      <w:pPr>
        <w:pStyle w:val="2"/>
      </w:pPr>
      <w:r>
        <w:drawing>
          <wp:inline distT="0" distB="0" distL="114300" distR="114300">
            <wp:extent cx="4289425" cy="3342640"/>
            <wp:effectExtent l="0" t="0" r="1587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4069715"/>
            <wp:effectExtent l="0" t="0" r="635" b="698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159E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点击下一步。</w:t>
      </w:r>
    </w:p>
    <w:p w14:paraId="09108A5C">
      <w:pPr>
        <w:pStyle w:val="2"/>
      </w:pPr>
      <w:r>
        <w:drawing>
          <wp:inline distT="0" distB="0" distL="114300" distR="114300">
            <wp:extent cx="5272405" cy="4044315"/>
            <wp:effectExtent l="0" t="0" r="4445" b="133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5A4CE">
      <w:pPr>
        <w:pStyle w:val="2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等待安装，安装完成后点击完成，打开软件。</w:t>
      </w:r>
    </w:p>
    <w:p w14:paraId="4B588C66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4079240"/>
            <wp:effectExtent l="0" t="0" r="6985" b="165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134360"/>
            <wp:effectExtent l="0" t="0" r="5080" b="889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4D5E">
      <w:pPr>
        <w:pStyle w:val="2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插入所需登录证书（U key），左上角可显示出证书，即可正常登录。</w:t>
      </w:r>
    </w:p>
    <w:p w14:paraId="5BF16C52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145155"/>
            <wp:effectExtent l="0" t="0" r="5080" b="17145"/>
            <wp:docPr id="22" name="图片 22" descr="170287047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0287047238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EE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进入CA证书和电子签章互认平台，点击证书登陆，显示证书登陆界面，点击加载证书，PIN码输入证书密码，正确输入密码后，点击登录，即可进入CA证书和电子签章互认平台。</w:t>
      </w:r>
      <w:bookmarkStart w:id="37" w:name="_GoBack"/>
      <w:bookmarkEnd w:id="37"/>
    </w:p>
    <w:p w14:paraId="1351F1E1">
      <w:pPr>
        <w:pStyle w:val="16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highlight w:val="none"/>
        </w:rPr>
      </w:pPr>
      <w:r>
        <w:drawing>
          <wp:inline distT="0" distB="0" distL="114300" distR="114300">
            <wp:extent cx="5272405" cy="2658745"/>
            <wp:effectExtent l="0" t="0" r="10795" b="8255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2396">
      <w:pPr>
        <w:pStyle w:val="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5" w:name="_Toc2662"/>
      <w:bookmarkStart w:id="16" w:name="_Toc10721"/>
      <w:r>
        <w:rPr>
          <w:rFonts w:hint="eastAsia" w:ascii="仿宋" w:hAnsi="仿宋" w:eastAsia="仿宋" w:cs="仿宋"/>
          <w:sz w:val="28"/>
          <w:szCs w:val="28"/>
        </w:rPr>
        <w:t>账号登录</w:t>
      </w:r>
      <w:bookmarkEnd w:id="15"/>
      <w:bookmarkEnd w:id="16"/>
    </w:p>
    <w:p w14:paraId="3EFFB2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点击账号密码，显示账号密码登录界面，正确输入账号及密码，点击登录即可。</w:t>
      </w:r>
    </w:p>
    <w:p w14:paraId="76B575FD">
      <w:pPr>
        <w:kinsoku/>
        <w:wordWrap/>
        <w:overflowPunct/>
        <w:topLinePunct w:val="0"/>
        <w:autoSpaceDE/>
        <w:autoSpaceDN/>
        <w:bidi w:val="0"/>
        <w:spacing w:line="240" w:lineRule="auto"/>
        <w:jc w:val="both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F22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17" w:name="_Toc174223815"/>
      <w:bookmarkStart w:id="18" w:name="_Toc32418"/>
      <w:bookmarkStart w:id="19" w:name="_Toc9899"/>
      <w:bookmarkStart w:id="20" w:name="_Toc12776"/>
      <w:r>
        <w:rPr>
          <w:rFonts w:hint="eastAsia" w:ascii="仿宋" w:hAnsi="仿宋" w:eastAsia="仿宋" w:cs="仿宋"/>
          <w:sz w:val="28"/>
          <w:szCs w:val="28"/>
        </w:rPr>
        <w:t>平台首页</w:t>
      </w:r>
      <w:bookmarkEnd w:id="17"/>
      <w:bookmarkEnd w:id="18"/>
      <w:bookmarkEnd w:id="19"/>
      <w:bookmarkEnd w:id="20"/>
    </w:p>
    <w:p w14:paraId="57B357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登陆成功后，即进入平台首页，此页面为单点应用集合所有应用入口，只需要点击即可进入相应的交易平台。</w:t>
      </w:r>
    </w:p>
    <w:p w14:paraId="0414E7F6">
      <w:pPr>
        <w:pStyle w:val="16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6E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平台界面首页功能说明：</w:t>
      </w:r>
    </w:p>
    <w:p w14:paraId="0D136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点击各公共资源交易平台图标，可进入对应的公共资源交易业务系统（或主体信息完善界面）。也可点击上方搜索框，从显示下拉列表选择交易平台。</w:t>
      </w:r>
    </w:p>
    <w:p w14:paraId="28D321E0">
      <w:pPr>
        <w:pStyle w:val="2"/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8FA6">
      <w:pPr>
        <w:pStyle w:val="2"/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D6EF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1" w:name="_Toc29855"/>
      <w:bookmarkStart w:id="22" w:name="_Toc1875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个人证书</w:t>
      </w:r>
      <w:bookmarkEnd w:id="21"/>
      <w:bookmarkEnd w:id="22"/>
    </w:p>
    <w:p w14:paraId="596D4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点击右上角下拉列表；点击&lt;个人证书&gt;即可进入证书绑定界面，该界面可以进行证书搜索、绑定证书和解除绑定。</w:t>
      </w:r>
    </w:p>
    <w:p w14:paraId="757CE27C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8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8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602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23" w:name="_Toc21591"/>
      <w:bookmarkStart w:id="24" w:name="_Toc3093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退出登录</w:t>
      </w:r>
      <w:bookmarkEnd w:id="23"/>
      <w:bookmarkEnd w:id="24"/>
    </w:p>
    <w:p w14:paraId="029858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点击&lt;退出登录&gt;可退出CA证书和电子签章互认平台。</w:t>
      </w:r>
    </w:p>
    <w:p w14:paraId="040A6997">
      <w:pPr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A878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firstLine="0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5" w:name="_Toc23010"/>
      <w:bookmarkStart w:id="26" w:name="_Toc30559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驱动下载</w:t>
      </w:r>
      <w:bookmarkEnd w:id="25"/>
      <w:bookmarkEnd w:id="26"/>
    </w:p>
    <w:p w14:paraId="440937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560" w:firstLineChars="200"/>
        <w:textAlignment w:val="baseline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点击驱动下载，即可弹出驱动下载界面，点击&lt;下载&gt;即可自动下载多CA互认证书驱动。</w:t>
      </w:r>
    </w:p>
    <w:p w14:paraId="06163A4B">
      <w:pPr>
        <w:pStyle w:val="2"/>
        <w:spacing w:line="240" w:lineRule="auto"/>
      </w:pPr>
      <w:r>
        <w:drawing>
          <wp:inline distT="0" distB="0" distL="114300" distR="114300">
            <wp:extent cx="5272405" cy="2658745"/>
            <wp:effectExtent l="0" t="0" r="10795" b="8255"/>
            <wp:docPr id="9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8A883">
      <w:pPr>
        <w:pStyle w:val="2"/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10795" b="8255"/>
            <wp:docPr id="9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F541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7" w:name="_Toc2037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进入平台</w:t>
      </w:r>
      <w:bookmarkEnd w:id="27"/>
    </w:p>
    <w:p w14:paraId="27148F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在进入互认平台首页后，选择需要进入的公共资源交易平台，点击后即可自动跳转并完成登录，无需再次输入密码。</w:t>
      </w:r>
    </w:p>
    <w:p w14:paraId="379DA537">
      <w:pPr>
        <w:pStyle w:val="2"/>
        <w:spacing w:line="240" w:lineRule="auto"/>
        <w:rPr>
          <w:rFonts w:hint="eastAsia"/>
          <w:lang w:val="en-US" w:eastAsia="zh-CN"/>
        </w:rPr>
      </w:pPr>
    </w:p>
    <w:p w14:paraId="74517398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37480" cy="2644140"/>
            <wp:effectExtent l="0" t="0" r="1270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E49D7">
      <w:pPr>
        <w:pStyle w:val="2"/>
        <w:spacing w:line="240" w:lineRule="auto"/>
        <w:ind w:firstLine="560" w:firstLineChars="200"/>
        <w:rPr>
          <w:rFonts w:hint="default" w:ascii="仿宋" w:hAnsi="仿宋" w:eastAsia="仿宋" w:cs="仿宋"/>
          <w:kern w:val="24"/>
          <w:sz w:val="28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lang w:val="en-US" w:eastAsia="zh-CN" w:bidi="ar-SA"/>
        </w:rPr>
        <w:t>进入对应公共资源交易平台后，选择正确的单位类型，并完善在交易平台上的单位信息，如基本信息，职业人员等。完成后提交审核，审核将自动通过，通过后刷新页面即可开展业务。</w:t>
      </w:r>
    </w:p>
    <w:p w14:paraId="431DC76E">
      <w:pPr>
        <w:pStyle w:val="2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669540"/>
            <wp:effectExtent l="0" t="0" r="13970" b="16510"/>
            <wp:docPr id="2" name="图片 2" descr="71253ecfab3854d58f4cd9b2311f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253ecfab3854d58f4cd9b2311f4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EF86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5735" cy="3045460"/>
            <wp:effectExtent l="0" t="0" r="12065" b="25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E21BC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40020" cy="2640330"/>
            <wp:effectExtent l="0" t="0" r="1778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6DBB">
      <w:pPr>
        <w:pStyle w:val="2"/>
        <w:spacing w:line="2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08905" cy="2428875"/>
            <wp:effectExtent l="0" t="0" r="10795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EC09">
      <w:r>
        <w:drawing>
          <wp:inline distT="0" distB="0" distL="114300" distR="114300">
            <wp:extent cx="5228590" cy="2263775"/>
            <wp:effectExtent l="0" t="0" r="10160" b="317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F550">
      <w:pPr>
        <w:rPr>
          <w:rFonts w:hint="eastAsia"/>
          <w:lang w:val="en-US" w:eastAsia="zh-CN"/>
        </w:rPr>
      </w:pPr>
      <w:r>
        <w:br w:type="page"/>
      </w:r>
    </w:p>
    <w:p w14:paraId="7412FC73">
      <w:pPr>
        <w:keepNext/>
        <w:keepLines/>
        <w:pageBreakBefore w:val="0"/>
        <w:widowControl w:val="0"/>
        <w:numPr>
          <w:ilvl w:val="0"/>
          <w:numId w:val="1"/>
        </w:num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0" w:leftChars="0" w:firstLine="0"/>
        <w:jc w:val="both"/>
        <w:textAlignment w:val="baseline"/>
        <w:outlineLvl w:val="0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28" w:name="_Toc22170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登录方式二</w:t>
      </w:r>
      <w:bookmarkEnd w:id="28"/>
    </w:p>
    <w:p w14:paraId="2732DD4E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29" w:name="_Toc15128"/>
      <w:r>
        <w:rPr>
          <w:rFonts w:hint="eastAsia" w:ascii="仿宋" w:hAnsi="仿宋" w:eastAsia="仿宋" w:cs="仿宋"/>
          <w:sz w:val="28"/>
          <w:szCs w:val="28"/>
        </w:rPr>
        <w:t>登录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各级公共资源交易平台</w:t>
      </w:r>
      <w:bookmarkEnd w:id="29"/>
    </w:p>
    <w:p w14:paraId="7D484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560" w:firstLineChars="200"/>
        <w:textAlignment w:val="baseline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打开浏览器，输入对应平台网址，进入各级公共资源交易平台登录页面。全疆交易平台主体登录入口地址如下：</w:t>
      </w:r>
    </w:p>
    <w:p w14:paraId="56235659">
      <w:pPr>
        <w:pStyle w:val="2"/>
        <w:numPr>
          <w:ilvl w:val="0"/>
          <w:numId w:val="2"/>
        </w:numPr>
        <w:spacing w:line="240" w:lineRule="auto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自治区：</w:t>
      </w:r>
      <w:r>
        <w:rPr>
          <w:rFonts w:hint="eastAsia" w:ascii="仿宋" w:hAnsi="仿宋" w:eastAsia="仿宋" w:cs="仿宋"/>
          <w:b/>
          <w:bCs/>
          <w:color w:val="auto"/>
          <w:kern w:val="24"/>
          <w:sz w:val="24"/>
          <w:szCs w:val="24"/>
          <w:highlight w:val="none"/>
          <w:lang w:val="en-US" w:eastAsia="zh-CN" w:bidi="ar-SA"/>
        </w:rPr>
        <w:t>https://ggzy.xinjiang.gov.cn/TPBidder/memberLogin</w:t>
      </w:r>
    </w:p>
    <w:p w14:paraId="100150FB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（2）乌鲁木齐：http://49.119.97.2:8090/TPBidder/memberLogin</w:t>
      </w:r>
    </w:p>
    <w:p w14:paraId="3CC8DAB5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（3）昌吉：http://www.cjzwfw.cn/TPBidder/memberLogin</w:t>
      </w:r>
    </w:p>
    <w:p w14:paraId="4C0247E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（4）阿勒泰：http://xjaltggzy.gov.cn/TPBidder/memberLogin</w:t>
      </w:r>
    </w:p>
    <w:p w14:paraId="68342BFF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（5）克拉玛依：http://ggzy.klmy.gov.cn/TPBidder/memberLogin</w:t>
      </w:r>
    </w:p>
    <w:p w14:paraId="72BF5A2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（6）阿克苏：https://ggzy.akszwfw.cn/TPBidder/memberLogin</w:t>
      </w:r>
    </w:p>
    <w:p w14:paraId="63F9911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（7）伊犁：http://ggzy.xjyl.gov.cn/TPBidder/memberLogin</w:t>
      </w:r>
    </w:p>
    <w:p w14:paraId="07632F4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（8）塔城：http://ggzyjy.xjtc.gov.cn/TPBidder/memberLogin</w:t>
      </w:r>
    </w:p>
    <w:p w14:paraId="1B7B2ED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（9）巴州：http://xjbzggzy.cn/TPBidder/memberLogin</w:t>
      </w:r>
    </w:p>
    <w:p w14:paraId="55E4F50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（10）和田：http://36.107.230.199:8081/TPBidder/memberLogin</w:t>
      </w:r>
    </w:p>
    <w:p w14:paraId="6B4369E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（11）喀什：http://124.88.238.80:1040/TPBidder/memberLogin</w:t>
      </w:r>
    </w:p>
    <w:p w14:paraId="23031C10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（12）哈密：http://ggzy.hmzwfw.com/TPBidder/memberLogin</w:t>
      </w:r>
    </w:p>
    <w:p w14:paraId="49B6507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（13）克州：http://kzggzyjy.com.cn:8024/TPBidder/memberLogin</w:t>
      </w:r>
    </w:p>
    <w:p w14:paraId="0C0AD6BD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（14）博州：http://xzfw.xjboz.gov.cn/TPBidder/memberLogin</w:t>
      </w:r>
    </w:p>
    <w:p w14:paraId="5C0A7A36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（15）吐鲁番：http://xzfw.xjboz.gov.cn/TPBidder/memberLogin</w:t>
      </w:r>
    </w:p>
    <w:p w14:paraId="1D95594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</w:p>
    <w:p w14:paraId="64342F39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hanging="575"/>
        <w:textAlignment w:val="baseline"/>
        <w:rPr>
          <w:rFonts w:hint="eastAsia" w:ascii="仿宋" w:hAnsi="仿宋" w:eastAsia="仿宋" w:cs="仿宋"/>
          <w:sz w:val="28"/>
          <w:szCs w:val="28"/>
        </w:rPr>
      </w:pPr>
      <w:bookmarkStart w:id="30" w:name="_Toc19263"/>
      <w:r>
        <w:rPr>
          <w:rFonts w:hint="eastAsia" w:ascii="仿宋" w:hAnsi="仿宋" w:eastAsia="仿宋" w:cs="仿宋"/>
          <w:sz w:val="28"/>
          <w:szCs w:val="28"/>
        </w:rPr>
        <w:t>准备工作</w:t>
      </w:r>
      <w:bookmarkEnd w:id="30"/>
    </w:p>
    <w:p w14:paraId="277BAB7F">
      <w:pPr>
        <w:pStyle w:val="5"/>
        <w:bidi w:val="0"/>
        <w:ind w:left="1000" w:leftChars="0" w:hanging="720" w:firstLineChars="0"/>
        <w:rPr>
          <w:rFonts w:hint="eastAsia" w:cs="Times New Roman"/>
          <w:sz w:val="28"/>
          <w:szCs w:val="28"/>
          <w:lang w:val="en-US" w:eastAsia="zh-CN"/>
        </w:rPr>
      </w:pPr>
      <w:bookmarkStart w:id="31" w:name="_Toc9046"/>
      <w:r>
        <w:rPr>
          <w:rFonts w:hint="eastAsia" w:cs="Times New Roman"/>
          <w:sz w:val="28"/>
          <w:szCs w:val="28"/>
          <w:lang w:val="en-US" w:eastAsia="zh-CN"/>
        </w:rPr>
        <w:t>系统软硬件要求</w:t>
      </w:r>
      <w:bookmarkEnd w:id="31"/>
    </w:p>
    <w:p w14:paraId="5F84280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建议使用Win7及以上64位操作系统</w:t>
      </w:r>
    </w:p>
    <w:p w14:paraId="3E0C7F61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浏览器使用IE浏览器，且IE版本在IE9以上。</w:t>
      </w:r>
    </w:p>
    <w:p w14:paraId="7128A73A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2" w:name="_Toc32029"/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兼容性视图</w:t>
      </w:r>
      <w:bookmarkEnd w:id="32"/>
    </w:p>
    <w:p w14:paraId="76ADE110">
      <w:pPr>
        <w:adjustRightInd/>
        <w:spacing w:line="240" w:lineRule="auto"/>
        <w:ind w:left="0" w:leftChars="0" w:firstLine="0" w:firstLineChars="0"/>
        <w:textAlignment w:val="auto"/>
        <w:rPr>
          <w:rFonts w:hint="default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将以上各级交易平台的网址，如xinjiang.gov.cn 添加至兼容性视图，此步骤不可缺少。</w:t>
      </w:r>
    </w:p>
    <w:p w14:paraId="680FBAD1">
      <w:pPr>
        <w:autoSpaceDE w:val="0"/>
        <w:autoSpaceDN w:val="0"/>
        <w:adjustRightInd/>
        <w:spacing w:before="9" w:line="240" w:lineRule="auto"/>
        <w:ind w:left="0" w:leftChars="0" w:firstLine="0" w:firstLineChars="0"/>
        <w:jc w:val="left"/>
        <w:textAlignment w:val="auto"/>
        <w:rPr>
          <w:rFonts w:ascii="宋体" w:hAnsi="宋体" w:eastAsia="仿宋" w:cs="宋体"/>
          <w:kern w:val="0"/>
          <w:sz w:val="10"/>
          <w:szCs w:val="24"/>
          <w:lang w:val="zh-CN" w:bidi="zh-CN"/>
        </w:rPr>
      </w:pPr>
    </w:p>
    <w:p w14:paraId="293ED09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ascii="Times New Roman" w:hAnsi="Times New Roman" w:eastAsia="仿宋" w:cs="Times New Roman"/>
          <w:kern w:val="2"/>
          <w:sz w:val="28"/>
          <w:szCs w:val="24"/>
        </w:rPr>
        <w:drawing>
          <wp:inline distT="0" distB="0" distL="114300" distR="114300">
            <wp:extent cx="5720715" cy="2583180"/>
            <wp:effectExtent l="0" t="0" r="13335" b="76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6E986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3" w:name="_Toc5773"/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可信任站点</w:t>
      </w:r>
      <w:bookmarkEnd w:id="33"/>
    </w:p>
    <w:p w14:paraId="7CF2C717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需要将交易网站添加进可信站点:</w:t>
      </w:r>
    </w:p>
    <w:p w14:paraId="367E737C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Internet 选项 -&gt; 安全 -&gt; 站点 -&gt; 添加 -&gt; 关闭 -&gt; 刷新界面</w:t>
      </w:r>
    </w:p>
    <w:p w14:paraId="7D4A9E07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ascii="宋体" w:hAnsi="宋体" w:eastAsia="仿宋" w:cs="宋体"/>
          <w:kern w:val="0"/>
          <w:sz w:val="17"/>
          <w:szCs w:val="24"/>
          <w:lang w:val="zh-CN" w:bidi="zh-CN"/>
        </w:rPr>
        <w:drawing>
          <wp:inline distT="0" distB="0" distL="114300" distR="114300">
            <wp:extent cx="5264150" cy="2853055"/>
            <wp:effectExtent l="0" t="0" r="12700" b="4445"/>
            <wp:docPr id="24" name="图片 24" descr="825255e73761907d111cc61ff311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25255e73761907d111cc61ff3111d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07A8">
      <w:pPr>
        <w:keepNext/>
        <w:keepLines/>
        <w:widowControl w:val="0"/>
        <w:numPr>
          <w:ilvl w:val="2"/>
          <w:numId w:val="1"/>
        </w:numPr>
        <w:bidi w:val="0"/>
        <w:adjustRightInd w:val="0"/>
        <w:spacing w:before="260" w:after="260" w:line="416" w:lineRule="auto"/>
        <w:ind w:left="1000" w:leftChars="0" w:hanging="720" w:firstLineChars="0"/>
        <w:jc w:val="both"/>
        <w:textAlignment w:val="baseline"/>
        <w:outlineLvl w:val="2"/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</w:pPr>
      <w:bookmarkStart w:id="34" w:name="_Toc12064"/>
      <w:r>
        <w:rPr>
          <w:rFonts w:hint="eastAsia" w:ascii="Tahoma" w:hAnsi="Tahoma" w:eastAsia="宋体" w:cs="Times New Roman"/>
          <w:b w:val="0"/>
          <w:bCs w:val="0"/>
          <w:kern w:val="24"/>
          <w:sz w:val="28"/>
          <w:szCs w:val="28"/>
          <w:lang w:val="en-US" w:eastAsia="zh-CN" w:bidi="ar-SA"/>
        </w:rPr>
        <w:t xml:space="preserve">activeX </w:t>
      </w:r>
      <w:r>
        <w:rPr>
          <w:rFonts w:hint="eastAsia" w:ascii="Tahoma" w:hAnsi="Tahoma" w:eastAsia="宋体" w:cs="Times New Roman"/>
          <w:b/>
          <w:bCs/>
          <w:kern w:val="24"/>
          <w:sz w:val="28"/>
          <w:szCs w:val="28"/>
          <w:lang w:val="en-US" w:eastAsia="zh-CN" w:bidi="ar-SA"/>
        </w:rPr>
        <w:t>控件</w:t>
      </w:r>
      <w:bookmarkEnd w:id="34"/>
    </w:p>
    <w:p w14:paraId="51A07A5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仿宋" w:hAnsi="仿宋" w:eastAsia="仿宋" w:cs="仿宋"/>
          <w:kern w:val="24"/>
          <w:sz w:val="28"/>
          <w:szCs w:val="28"/>
          <w:highlight w:val="none"/>
          <w:lang w:val="en-US" w:eastAsia="zh-CN" w:bidi="ar-SA"/>
        </w:rPr>
        <w:t>打开 IE 工具栏 -&gt; Internet 选项-&gt;安全-&gt;自定义级别-&gt; actvieX 控件（共计13项）全部选择“启用”</w:t>
      </w:r>
    </w:p>
    <w:p w14:paraId="1D0CF789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宋体" w:hAnsi="宋体" w:eastAsia="仿宋" w:cs="宋体"/>
          <w:sz w:val="28"/>
          <w:szCs w:val="24"/>
          <w:lang w:eastAsia="zh-CN"/>
        </w:rPr>
        <w:drawing>
          <wp:inline distT="0" distB="0" distL="114300" distR="114300">
            <wp:extent cx="5266690" cy="2874645"/>
            <wp:effectExtent l="0" t="0" r="10160" b="1905"/>
            <wp:docPr id="25" name="图片 25" descr="bcfc15c05b7f280a143f3d405a4f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cfc15c05b7f280a143f3d405a4f11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B80A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14ADEED1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600DDE65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6C96BAAE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leftChars="0" w:hanging="575"/>
        <w:jc w:val="both"/>
        <w:textAlignment w:val="baseline"/>
        <w:outlineLvl w:val="1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35" w:name="_Toc27440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驱动安装说明</w:t>
      </w:r>
      <w:bookmarkEnd w:id="35"/>
    </w:p>
    <w:p w14:paraId="79413B96">
      <w:pPr>
        <w:pStyle w:val="2"/>
        <w:widowControl w:val="0"/>
        <w:numPr>
          <w:ilvl w:val="0"/>
          <w:numId w:val="3"/>
        </w:numPr>
        <w:adjustRightInd w:val="0"/>
        <w:spacing w:after="120" w:line="240" w:lineRule="auto"/>
        <w:jc w:val="both"/>
        <w:textAlignment w:val="baseline"/>
      </w:pPr>
      <w:r>
        <w:rPr>
          <w:rFonts w:hint="eastAsia" w:ascii="Times New Roman" w:hAnsi="Times New Roman" w:eastAsia="仿宋" w:cs="Times New Roman"/>
          <w:kern w:val="2"/>
          <w:sz w:val="28"/>
          <w:szCs w:val="24"/>
          <w:lang w:val="en-US" w:eastAsia="zh-CN"/>
        </w:rPr>
        <w:t>可以通过各级交易网站服务指南-下载中心下载驱动</w:t>
      </w:r>
    </w:p>
    <w:p w14:paraId="142E6515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433320"/>
            <wp:effectExtent l="0" t="0" r="0" b="5080"/>
            <wp:docPr id="32" name="图片 32" descr="局部截取_20260722_20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局部截取_20260722_2036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D7A5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2、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双击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下载下来的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安装程序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drawing>
          <wp:inline distT="0" distB="0" distL="114300" distR="114300">
            <wp:extent cx="2522855" cy="343535"/>
            <wp:effectExtent l="0" t="0" r="0" b="0"/>
            <wp:docPr id="46" name="图片 46" descr="局部截取_20260722_20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局部截取_20260722_203653"/>
                    <pic:cNvPicPr>
                      <a:picLocks noChangeAspect="1"/>
                    </pic:cNvPicPr>
                  </pic:nvPicPr>
                  <pic:blipFill>
                    <a:blip r:embed="rId41"/>
                    <a:srcRect r="29369" b="1203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，进入安装页面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eastAsia="zh-CN"/>
        </w:rPr>
        <w:t>，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选中协议，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点击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“自定义安装”</w:t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。</w:t>
      </w:r>
    </w:p>
    <w:p w14:paraId="4BC9F493">
      <w:pPr>
        <w:autoSpaceDE w:val="0"/>
        <w:autoSpaceDN w:val="0"/>
        <w:adjustRightInd w:val="0"/>
        <w:spacing w:line="240" w:lineRule="auto"/>
        <w:ind w:left="0" w:leftChars="0" w:right="-20" w:firstLine="0" w:firstLineChars="0"/>
        <w:jc w:val="both"/>
        <w:textAlignment w:val="auto"/>
        <w:rPr>
          <w:rFonts w:hint="eastAsia" w:ascii="Times New Roman" w:hAnsi="Times New Roman" w:eastAsia="仿宋" w:cs="Times New Roman"/>
          <w:color w:val="000000"/>
          <w:spacing w:val="4"/>
          <w:kern w:val="2"/>
          <w:sz w:val="28"/>
          <w:szCs w:val="24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pacing w:val="4"/>
          <w:kern w:val="2"/>
          <w:sz w:val="28"/>
          <w:szCs w:val="24"/>
          <w:lang w:eastAsia="zh-CN"/>
        </w:rPr>
        <w:drawing>
          <wp:inline distT="0" distB="0" distL="114300" distR="114300">
            <wp:extent cx="5272405" cy="3954145"/>
            <wp:effectExtent l="0" t="0" r="10795" b="8255"/>
            <wp:docPr id="47" name="图片 47" descr="47c9947081e8a8c465646ec667d064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7c9947081e8a8c465646ec667d0644c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12AD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注：在安装驱动之前，请确保所有浏览器均已关闭。</w:t>
      </w:r>
    </w:p>
    <w:p w14:paraId="455611B3">
      <w:pPr>
        <w:adjustRightInd/>
        <w:spacing w:line="240" w:lineRule="auto"/>
        <w:ind w:left="0" w:leftChars="0" w:firstLine="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</w:p>
    <w:p w14:paraId="5A8A6B6B">
      <w:pPr>
        <w:adjustRightInd/>
        <w:spacing w:line="240" w:lineRule="auto"/>
        <w:ind w:left="0" w:leftChars="0" w:firstLine="420" w:firstLineChars="0"/>
        <w:textAlignment w:val="auto"/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、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  <w:lang w:val="en-US" w:eastAsia="zh-CN"/>
        </w:rPr>
        <w:t>安装过程若有提示，选择忽略即可。</w:t>
      </w: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驱动安装完成后，打开完成界面。</w:t>
      </w:r>
    </w:p>
    <w:p w14:paraId="3386A29E">
      <w:pPr>
        <w:adjustRightInd/>
        <w:spacing w:line="240" w:lineRule="auto"/>
        <w:ind w:left="0" w:leftChars="0" w:firstLine="0" w:firstLineChars="0"/>
        <w:textAlignment w:val="auto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272405" cy="3954145"/>
            <wp:effectExtent l="0" t="0" r="10795" b="8255"/>
            <wp:docPr id="48" name="图片 48" descr="eb7d9fda9d2e2dba373a90a411567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b7d9fda9d2e2dba373a90a411567ac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F587">
      <w:pPr>
        <w:pStyle w:val="2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267325" cy="3322955"/>
            <wp:effectExtent l="0" t="0" r="3175" b="4445"/>
            <wp:docPr id="49" name="图片 49" descr="DetectionTool2.exe_20260722_20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etectionTool2.exe_20260722_20382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F2B3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  <w:r>
        <w:rPr>
          <w:rFonts w:hint="eastAsia" w:ascii="Times New Roman" w:hAnsi="Times New Roman" w:eastAsia="仿宋" w:cs="Times New Roman"/>
          <w:color w:val="000000"/>
          <w:kern w:val="2"/>
          <w:sz w:val="28"/>
          <w:szCs w:val="24"/>
        </w:rPr>
        <w:t>点击“完成”按钮，驱动安装成功，桌面显示图标</w:t>
      </w:r>
      <w:r>
        <w:drawing>
          <wp:inline distT="0" distB="0" distL="114300" distR="114300">
            <wp:extent cx="704850" cy="6477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" w:cs="Times New Roman"/>
          <w:color w:val="000000"/>
          <w:kern w:val="2"/>
          <w:sz w:val="28"/>
          <w:szCs w:val="24"/>
        </w:rPr>
        <w:t>。</w:t>
      </w:r>
    </w:p>
    <w:p w14:paraId="0C62961A">
      <w:pPr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before="0" w:after="0" w:line="560" w:lineRule="exact"/>
        <w:ind w:left="575" w:leftChars="0" w:hanging="575"/>
        <w:jc w:val="both"/>
        <w:textAlignment w:val="baseline"/>
        <w:outlineLvl w:val="1"/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</w:pPr>
      <w:bookmarkStart w:id="36" w:name="_Toc18519"/>
      <w:r>
        <w:rPr>
          <w:rFonts w:hint="eastAsia" w:ascii="仿宋" w:hAnsi="仿宋" w:eastAsia="仿宋" w:cs="仿宋"/>
          <w:b/>
          <w:bCs/>
          <w:kern w:val="24"/>
          <w:sz w:val="28"/>
          <w:szCs w:val="28"/>
          <w:lang w:val="en-US" w:eastAsia="zh-CN" w:bidi="ar-SA"/>
        </w:rPr>
        <w:t>注册登陆</w:t>
      </w:r>
      <w:bookmarkEnd w:id="36"/>
    </w:p>
    <w:p w14:paraId="56229C59">
      <w:pPr>
        <w:widowControl w:val="0"/>
        <w:adjustRightInd w:val="0"/>
        <w:spacing w:after="120" w:line="240" w:lineRule="auto"/>
        <w:ind w:left="0" w:leftChars="0" w:firstLine="560" w:firstLineChars="200"/>
        <w:jc w:val="both"/>
        <w:textAlignment w:val="baseline"/>
        <w:rPr>
          <w:rFonts w:hint="eastAsia" w:ascii="仿宋" w:hAnsi="仿宋" w:eastAsia="仿宋" w:cs="仿宋"/>
          <w:kern w:val="24"/>
          <w:sz w:val="28"/>
          <w:lang w:val="en-US" w:eastAsia="zh-CN" w:bidi="ar-SA"/>
        </w:rPr>
      </w:pPr>
      <w:r>
        <w:rPr>
          <w:rFonts w:hint="eastAsia" w:ascii="仿宋" w:hAnsi="仿宋" w:eastAsia="仿宋" w:cs="仿宋"/>
          <w:kern w:val="24"/>
          <w:sz w:val="28"/>
          <w:lang w:val="en-US" w:eastAsia="zh-CN" w:bidi="ar-SA"/>
        </w:rPr>
        <w:t>通过地址，选择CA登录方式，输入密码后进入对应公共资源交易平台（如下图自治区公共资源交易平台）。选择正确的单位类型，并完善在交易平台上的单位信息，如基本信息，职业人员等。完成后提交审核，审核将自动通过，通过后，刷新页面即可查看系统相关菜单，并开展后续业务。</w:t>
      </w:r>
    </w:p>
    <w:p w14:paraId="0982C02F">
      <w:pPr>
        <w:widowControl w:val="0"/>
        <w:adjustRightInd w:val="0"/>
        <w:spacing w:after="120" w:line="240" w:lineRule="auto"/>
        <w:jc w:val="both"/>
        <w:textAlignment w:val="baseline"/>
        <w:rPr>
          <w:rFonts w:hint="eastAsia" w:ascii="仿宋" w:hAnsi="仿宋" w:eastAsia="仿宋" w:cs="仿宋"/>
          <w:kern w:val="24"/>
          <w:sz w:val="28"/>
          <w:lang w:val="en-US" w:eastAsia="zh-CN" w:bidi="ar-SA"/>
        </w:rPr>
      </w:pPr>
      <w:r>
        <w:drawing>
          <wp:inline distT="0" distB="0" distL="114300" distR="114300">
            <wp:extent cx="5274945" cy="2520315"/>
            <wp:effectExtent l="0" t="0" r="1905" b="1333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3E5E">
      <w:pPr>
        <w:widowControl w:val="0"/>
        <w:adjustRightInd w:val="0"/>
        <w:spacing w:after="120" w:line="240" w:lineRule="auto"/>
        <w:jc w:val="both"/>
        <w:textAlignment w:val="baseline"/>
        <w:rPr>
          <w:rFonts w:hint="default" w:ascii="仿宋" w:hAnsi="仿宋" w:eastAsia="仿宋" w:cs="仿宋"/>
          <w:kern w:val="24"/>
          <w:sz w:val="28"/>
          <w:lang w:val="en-US" w:eastAsia="zh-CN" w:bidi="ar-SA"/>
        </w:rPr>
      </w:pPr>
      <w:r>
        <w:drawing>
          <wp:inline distT="0" distB="0" distL="114300" distR="114300">
            <wp:extent cx="5249545" cy="2074545"/>
            <wp:effectExtent l="0" t="0" r="8255" b="190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3452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62880" cy="2478405"/>
            <wp:effectExtent l="0" t="0" r="0" b="0"/>
            <wp:docPr id="38" name="图片 38" descr="71253ecfab3854d58f4cd9b2311f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1253ecfab3854d58f4cd9b2311f424"/>
                    <pic:cNvPicPr>
                      <a:picLocks noChangeAspect="1"/>
                    </pic:cNvPicPr>
                  </pic:nvPicPr>
                  <pic:blipFill>
                    <a:blip r:embed="rId32"/>
                    <a:srcRect b="71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8F49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45735" cy="3045460"/>
            <wp:effectExtent l="0" t="0" r="12065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98E5B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40020" cy="2640330"/>
            <wp:effectExtent l="0" t="0" r="17780" b="762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551C">
      <w:pPr>
        <w:widowControl w:val="0"/>
        <w:adjustRightInd w:val="0"/>
        <w:spacing w:after="120" w:line="240" w:lineRule="auto"/>
        <w:ind w:left="0" w:leftChars="0"/>
        <w:jc w:val="both"/>
        <w:textAlignment w:val="baseline"/>
        <w:rPr>
          <w:rFonts w:hint="eastAsia" w:ascii="Tahoma" w:hAnsi="Tahoma" w:eastAsia="黑体" w:cs="Times New Roman"/>
          <w:kern w:val="24"/>
          <w:sz w:val="28"/>
          <w:lang w:val="en-US" w:eastAsia="zh-CN" w:bidi="ar-SA"/>
        </w:rPr>
      </w:pPr>
      <w:r>
        <w:rPr>
          <w:rFonts w:ascii="Tahoma" w:hAnsi="Tahoma" w:eastAsia="黑体" w:cs="Times New Roman"/>
          <w:kern w:val="24"/>
          <w:sz w:val="28"/>
          <w:lang w:val="en-US" w:eastAsia="zh-CN" w:bidi="ar-SA"/>
        </w:rPr>
        <w:drawing>
          <wp:inline distT="0" distB="0" distL="114300" distR="114300">
            <wp:extent cx="5208905" cy="2428875"/>
            <wp:effectExtent l="0" t="0" r="10795" b="952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A6AFA">
      <w:pPr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5228590" cy="2263775"/>
            <wp:effectExtent l="0" t="0" r="10160" b="317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66EA8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ascii="Times New Roman" w:hAnsi="Times New Roman" w:eastAsia="仿宋" w:cs="Times New Roman"/>
          <w:kern w:val="2"/>
          <w:sz w:val="28"/>
          <w:szCs w:val="24"/>
        </w:rPr>
      </w:pPr>
    </w:p>
    <w:p w14:paraId="5CC0C4D2">
      <w:pPr>
        <w:pStyle w:val="2"/>
        <w:widowControl w:val="0"/>
        <w:numPr>
          <w:ilvl w:val="0"/>
          <w:numId w:val="0"/>
        </w:numPr>
        <w:adjustRightInd w:val="0"/>
        <w:spacing w:after="120" w:line="240" w:lineRule="auto"/>
        <w:jc w:val="both"/>
        <w:textAlignment w:val="baseline"/>
        <w:rPr>
          <w:rFonts w:hint="default" w:ascii="Times New Roman" w:hAnsi="Times New Roman" w:eastAsia="仿宋" w:cs="Times New Roman"/>
          <w:kern w:val="2"/>
          <w:sz w:val="28"/>
          <w:szCs w:val="24"/>
          <w:lang w:val="en-US" w:eastAsia="zh-CN"/>
        </w:rPr>
      </w:pPr>
    </w:p>
    <w:sectPr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5CCA797-0205-4FDD-9E5F-122F8025B93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2" w:fontKey="{AF0570E1-CF70-4FE2-ABB8-048F2067AC8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3B68B6-A19C-46FF-BBB1-4146DB3235D6}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行楷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4" w:fontKey="{E809EB8B-F936-498F-90D4-4578E93DFF5D}"/>
  </w:font>
  <w:font w:name="WPSEMBED1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459447">
    <w:pPr>
      <w:ind w:right="360"/>
      <w:rPr>
        <w:sz w:val="1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1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59264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qkYSz&#10;1AAAAAYBAAAPAAAAAAAAAAEAIAAAACIAAABkcnMvZG93bnJldi54bWxQSwECFAAUAAAACACHTuJA&#10;jYNuzuwBAADYAwAADgAAAAAAAAABACAAAAAjAQAAZHJzL2Uyb0RvYy54bWxQSwUGAAAAAAYABgBZ&#10;AQAAgQ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671F25">
    <w:pPr>
      <w:ind w:right="360"/>
      <w:rPr>
        <w:sz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60288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qRhLPU&#10;AAAABgEAAA8AAAAAAAAAAQAgAAAAIgAAAGRycy9kb3ducmV2LnhtbFBLAQIUABQAAAAIAIdO4kBg&#10;c75t6wEAANgDAAAOAAAAAAAAAAEAIAAAACMBAABkcnMvZTJvRG9jLnhtbFBLBQYAAAAABgAGAFkB&#10;AACABQAAAAA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BC503">
    <w:pPr>
      <w:ind w:right="360"/>
      <w:rPr>
        <w:sz w:val="1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D1050">
                          <w:pPr>
                            <w:pStyle w:val="8"/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 w:ascii="仿宋" w:hAnsi="仿宋" w:eastAsia="仿宋" w:cs="仿宋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8D1050">
                    <w:pPr>
                      <w:pStyle w:val="8"/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</w:pP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t>2</w:t>
                    </w:r>
                    <w:r>
                      <w:rPr>
                        <w:rFonts w:hint="eastAsia" w:ascii="仿宋" w:hAnsi="仿宋" w:eastAsia="仿宋" w:cs="仿宋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163195</wp:posOffset>
              </wp:positionV>
              <wp:extent cx="5372100" cy="0"/>
              <wp:effectExtent l="0" t="4445" r="0" b="5080"/>
              <wp:wrapNone/>
              <wp:docPr id="30" name="直接连接符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12.85pt;height:0pt;width:423pt;z-index:251661312;mso-width-relative:page;mso-height-relative:page;" filled="f" stroked="t" coordsize="21600,21600" o:allowincell="f" o:gfxdata="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6pGE&#10;s9QAAAAGAQAADwAAAAAAAAABACAAAAAiAAAAZHJzL2Rvd25yZXYueG1sUEsBAhQAFAAAAAgAh07i&#10;QJNjDa7tAQAA2gMAAA4AAAAAAAAAAQAgAAAAIwEAAGRycy9lMm9Eb2MueG1sUEsFBgAAAAAGAAYA&#10;WQEAAIIFAAAAAA==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FC0DC2">
    <w:pPr>
      <w:pStyle w:val="9"/>
      <w:jc w:val="both"/>
      <w:rPr>
        <w:rFonts w:hint="eastAsia" w:ascii="方正行楷_GBK" w:hAnsi="方正行楷_GBK" w:eastAsia="方正行楷_GBK" w:cs="方正行楷_GBK"/>
        <w:sz w:val="24"/>
        <w:szCs w:val="24"/>
        <w:lang w:val="en-US"/>
      </w:rPr>
    </w:pPr>
    <w:r>
      <w:rPr>
        <w:rFonts w:hint="eastAsia" w:ascii="方正行楷_GBK" w:hAnsi="方正行楷_GBK" w:eastAsia="方正行楷_GBK" w:cs="方正行楷_GBK"/>
        <w:b w:val="0"/>
        <w:bCs w:val="0"/>
        <w:sz w:val="24"/>
        <w:szCs w:val="24"/>
        <w:lang w:val="en-US" w:eastAsia="zh-CN"/>
      </w:rPr>
      <w:t>全疆实体CA互认登录注册操作手册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CA1C3">
    <w:pPr>
      <w:pStyle w:val="9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1200E9"/>
    <w:multiLevelType w:val="singleLevel"/>
    <w:tmpl w:val="8F1200E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784C1750"/>
    <w:multiLevelType w:val="singleLevel"/>
    <w:tmpl w:val="784C175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CFAA6E2"/>
    <w:multiLevelType w:val="multilevel"/>
    <w:tmpl w:val="7CFAA6E2"/>
    <w:lvl w:ilvl="0" w:tentative="0">
      <w:start w:val="1"/>
      <w:numFmt w:val="decimal"/>
      <w:pStyle w:val="3"/>
      <w:suff w:val="space"/>
      <w:lvlText w:val="%1."/>
      <w:lvlJc w:val="left"/>
      <w:pPr>
        <w:ind w:left="432" w:hanging="432"/>
      </w:pPr>
      <w:rPr>
        <w:rFonts w:hint="default" w:ascii="仿宋" w:hAnsi="仿宋" w:eastAsia="仿宋" w:cs="仿宋"/>
        <w:b/>
        <w:bCs/>
        <w:sz w:val="28"/>
        <w:szCs w:val="28"/>
      </w:rPr>
    </w:lvl>
    <w:lvl w:ilvl="1" w:tentative="0">
      <w:start w:val="1"/>
      <w:numFmt w:val="decimal"/>
      <w:pStyle w:val="4"/>
      <w:suff w:val="space"/>
      <w:lvlText w:val="%1.%2."/>
      <w:lvlJc w:val="left"/>
      <w:pPr>
        <w:ind w:left="575" w:hanging="575"/>
      </w:pPr>
      <w:rPr>
        <w:rFonts w:hint="default" w:ascii="仿宋" w:hAnsi="仿宋" w:eastAsia="仿宋" w:cs="仿宋"/>
        <w:b/>
        <w:bCs/>
        <w:sz w:val="28"/>
        <w:szCs w:val="28"/>
      </w:rPr>
    </w:lvl>
    <w:lvl w:ilvl="2" w:tentative="0">
      <w:start w:val="1"/>
      <w:numFmt w:val="decimal"/>
      <w:pStyle w:val="5"/>
      <w:suff w:val="space"/>
      <w:lvlText w:val="%1.%2.%3."/>
      <w:lvlJc w:val="left"/>
      <w:pPr>
        <w:ind w:left="1000" w:hanging="720"/>
      </w:pPr>
      <w:rPr>
        <w:rFonts w:hint="default" w:ascii="仿宋" w:hAnsi="仿宋" w:eastAsia="仿宋" w:cs="仿宋"/>
        <w:b/>
        <w:bCs/>
        <w:sz w:val="28"/>
        <w:szCs w:val="28"/>
      </w:rPr>
    </w:lvl>
    <w:lvl w:ilvl="3" w:tentative="0">
      <w:start w:val="1"/>
      <w:numFmt w:val="decimal"/>
      <w:lvlText w:val="%1.%2.%3.%4."/>
      <w:lvlJc w:val="left"/>
      <w:pPr>
        <w:ind w:left="142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156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zMjA5NzY2MTUyYTEwNTcxMDljMmU4MjIzOWE3M2MifQ=="/>
  </w:docVars>
  <w:rsids>
    <w:rsidRoot w:val="00000000"/>
    <w:rsid w:val="01A87AFF"/>
    <w:rsid w:val="02B74739"/>
    <w:rsid w:val="032F4374"/>
    <w:rsid w:val="03443858"/>
    <w:rsid w:val="037B196F"/>
    <w:rsid w:val="08907C6B"/>
    <w:rsid w:val="08940DDD"/>
    <w:rsid w:val="08A62997"/>
    <w:rsid w:val="08AE49F0"/>
    <w:rsid w:val="09A51A98"/>
    <w:rsid w:val="0AC104F6"/>
    <w:rsid w:val="0AE75B3C"/>
    <w:rsid w:val="0BE34045"/>
    <w:rsid w:val="0C0B5EE8"/>
    <w:rsid w:val="0C731AE9"/>
    <w:rsid w:val="0D4D670B"/>
    <w:rsid w:val="0DC91529"/>
    <w:rsid w:val="0DDC74AE"/>
    <w:rsid w:val="0DED5218"/>
    <w:rsid w:val="10261BFA"/>
    <w:rsid w:val="104C51C8"/>
    <w:rsid w:val="10F44B0F"/>
    <w:rsid w:val="11D87F8D"/>
    <w:rsid w:val="123F000C"/>
    <w:rsid w:val="13EC5F71"/>
    <w:rsid w:val="14607359"/>
    <w:rsid w:val="14EA425F"/>
    <w:rsid w:val="15E6711C"/>
    <w:rsid w:val="178A1D29"/>
    <w:rsid w:val="181B5077"/>
    <w:rsid w:val="18475E6C"/>
    <w:rsid w:val="193463F1"/>
    <w:rsid w:val="19406E2A"/>
    <w:rsid w:val="19F4792E"/>
    <w:rsid w:val="1B934E21"/>
    <w:rsid w:val="1C8C02F2"/>
    <w:rsid w:val="1CCF271B"/>
    <w:rsid w:val="1E0D1F6D"/>
    <w:rsid w:val="1E1D5C20"/>
    <w:rsid w:val="1E844BE4"/>
    <w:rsid w:val="1F204D21"/>
    <w:rsid w:val="20BE2EA1"/>
    <w:rsid w:val="211D59BC"/>
    <w:rsid w:val="218B57A1"/>
    <w:rsid w:val="23775858"/>
    <w:rsid w:val="245022C2"/>
    <w:rsid w:val="276E4688"/>
    <w:rsid w:val="28E5421B"/>
    <w:rsid w:val="293959C0"/>
    <w:rsid w:val="29C9048F"/>
    <w:rsid w:val="2B357DA0"/>
    <w:rsid w:val="2CD26499"/>
    <w:rsid w:val="2DF512AA"/>
    <w:rsid w:val="2E6115DE"/>
    <w:rsid w:val="30146BDF"/>
    <w:rsid w:val="33BF2903"/>
    <w:rsid w:val="35B93AAE"/>
    <w:rsid w:val="35D16252"/>
    <w:rsid w:val="35F745D6"/>
    <w:rsid w:val="363B0967"/>
    <w:rsid w:val="375F66BE"/>
    <w:rsid w:val="387737AC"/>
    <w:rsid w:val="3972294A"/>
    <w:rsid w:val="3A5169AB"/>
    <w:rsid w:val="3B675D5A"/>
    <w:rsid w:val="3C1F5D64"/>
    <w:rsid w:val="3C3C0F95"/>
    <w:rsid w:val="3C40543E"/>
    <w:rsid w:val="3D061630"/>
    <w:rsid w:val="3DB50FFF"/>
    <w:rsid w:val="3EC040FF"/>
    <w:rsid w:val="3F547E12"/>
    <w:rsid w:val="40C9725F"/>
    <w:rsid w:val="41642904"/>
    <w:rsid w:val="417A715B"/>
    <w:rsid w:val="41A5138A"/>
    <w:rsid w:val="42015FA7"/>
    <w:rsid w:val="43A0038F"/>
    <w:rsid w:val="442156C3"/>
    <w:rsid w:val="4AFF47E8"/>
    <w:rsid w:val="4B75781C"/>
    <w:rsid w:val="4C651E42"/>
    <w:rsid w:val="4F021BCA"/>
    <w:rsid w:val="4F823E66"/>
    <w:rsid w:val="4FAD411B"/>
    <w:rsid w:val="501145EF"/>
    <w:rsid w:val="5037434B"/>
    <w:rsid w:val="50C02208"/>
    <w:rsid w:val="532A4F6B"/>
    <w:rsid w:val="532E5683"/>
    <w:rsid w:val="54DC110F"/>
    <w:rsid w:val="554C0043"/>
    <w:rsid w:val="56091A90"/>
    <w:rsid w:val="56334D5F"/>
    <w:rsid w:val="563A433F"/>
    <w:rsid w:val="56FE35BF"/>
    <w:rsid w:val="58786725"/>
    <w:rsid w:val="58E81E30"/>
    <w:rsid w:val="5AF5026A"/>
    <w:rsid w:val="5AF745AD"/>
    <w:rsid w:val="5CAC1792"/>
    <w:rsid w:val="5D317A5C"/>
    <w:rsid w:val="5D5D3A43"/>
    <w:rsid w:val="5EF230E2"/>
    <w:rsid w:val="60AA20C1"/>
    <w:rsid w:val="614E5143"/>
    <w:rsid w:val="6290181F"/>
    <w:rsid w:val="62D203FF"/>
    <w:rsid w:val="63AD6150"/>
    <w:rsid w:val="64E015A0"/>
    <w:rsid w:val="64E656EF"/>
    <w:rsid w:val="6565364A"/>
    <w:rsid w:val="65BD2897"/>
    <w:rsid w:val="66B91024"/>
    <w:rsid w:val="67C2261D"/>
    <w:rsid w:val="692F3C76"/>
    <w:rsid w:val="6A7E1CBB"/>
    <w:rsid w:val="6B3E7899"/>
    <w:rsid w:val="6B7D28AC"/>
    <w:rsid w:val="6B817F21"/>
    <w:rsid w:val="6B8D0AC3"/>
    <w:rsid w:val="6CA351A2"/>
    <w:rsid w:val="6CE94E1E"/>
    <w:rsid w:val="6D3E47AB"/>
    <w:rsid w:val="6E387A72"/>
    <w:rsid w:val="6F0E7CBF"/>
    <w:rsid w:val="737B095C"/>
    <w:rsid w:val="74B12652"/>
    <w:rsid w:val="751678CE"/>
    <w:rsid w:val="758D7B90"/>
    <w:rsid w:val="75ED062E"/>
    <w:rsid w:val="767F622A"/>
    <w:rsid w:val="77086984"/>
    <w:rsid w:val="773A3F04"/>
    <w:rsid w:val="77F41852"/>
    <w:rsid w:val="784C7448"/>
    <w:rsid w:val="78E0447A"/>
    <w:rsid w:val="7B0C59FB"/>
    <w:rsid w:val="7BFA1CF7"/>
    <w:rsid w:val="7E91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pacing w:line="360" w:lineRule="auto"/>
      <w:ind w:left="0" w:leftChars="0"/>
      <w:jc w:val="both"/>
      <w:textAlignment w:val="baseline"/>
    </w:pPr>
    <w:rPr>
      <w:rFonts w:ascii="Tahoma" w:hAnsi="Tahoma" w:eastAsia="黑体" w:cs="Times New Roman"/>
      <w:kern w:val="24"/>
      <w:sz w:val="28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tabs>
        <w:tab w:val="left" w:pos="432"/>
      </w:tabs>
      <w:spacing w:before="340" w:after="330" w:line="578" w:lineRule="atLeast"/>
      <w:ind w:leftChars="0"/>
      <w:outlineLvl w:val="0"/>
    </w:pPr>
    <w:rPr>
      <w:b/>
      <w:bCs/>
      <w:sz w:val="44"/>
      <w:szCs w:val="44"/>
    </w:rPr>
  </w:style>
  <w:style w:type="paragraph" w:styleId="4">
    <w:name w:val="heading 2"/>
    <w:basedOn w:val="1"/>
    <w:next w:val="1"/>
    <w:autoRedefine/>
    <w:qFormat/>
    <w:uiPriority w:val="0"/>
    <w:pPr>
      <w:keepNext/>
      <w:keepLines/>
      <w:numPr>
        <w:ilvl w:val="1"/>
        <w:numId w:val="1"/>
      </w:numPr>
      <w:tabs>
        <w:tab w:val="left" w:pos="576"/>
      </w:tabs>
      <w:spacing w:before="260" w:after="260" w:line="416" w:lineRule="atLeast"/>
      <w:ind w:left="575" w:leftChars="0" w:hanging="575"/>
      <w:outlineLvl w:val="1"/>
    </w:pPr>
    <w:rPr>
      <w:rFonts w:eastAsia="宋体"/>
      <w:b/>
      <w:bCs/>
      <w:sz w:val="36"/>
      <w:szCs w:val="32"/>
    </w:rPr>
  </w:style>
  <w:style w:type="paragraph" w:styleId="5">
    <w:name w:val="heading 3"/>
    <w:basedOn w:val="1"/>
    <w:next w:val="1"/>
    <w:autoRedefine/>
    <w:qFormat/>
    <w:uiPriority w:val="0"/>
    <w:pPr>
      <w:keepNext/>
      <w:keepLines/>
      <w:numPr>
        <w:ilvl w:val="2"/>
        <w:numId w:val="1"/>
      </w:numPr>
      <w:tabs>
        <w:tab w:val="left" w:pos="720"/>
      </w:tabs>
      <w:spacing w:before="260" w:after="260" w:line="416" w:lineRule="auto"/>
      <w:ind w:leftChars="0"/>
      <w:outlineLvl w:val="2"/>
    </w:pPr>
    <w:rPr>
      <w:rFonts w:eastAsia="宋体"/>
      <w:b/>
      <w:bCs/>
      <w:sz w:val="32"/>
      <w:szCs w:val="32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6">
    <w:name w:val="caption"/>
    <w:basedOn w:val="1"/>
    <w:next w:val="1"/>
    <w:autoRedefine/>
    <w:qFormat/>
    <w:uiPriority w:val="0"/>
    <w:pPr>
      <w:adjustRightInd/>
      <w:spacing w:before="152" w:after="160"/>
      <w:jc w:val="center"/>
      <w:textAlignment w:val="auto"/>
    </w:pPr>
    <w:rPr>
      <w:rFonts w:ascii="宋体" w:hAnsi="宋体" w:eastAsia="宋体" w:cs="Arial"/>
      <w:kern w:val="2"/>
      <w:sz w:val="20"/>
    </w:rPr>
  </w:style>
  <w:style w:type="paragraph" w:styleId="7">
    <w:name w:val="toc 3"/>
    <w:basedOn w:val="1"/>
    <w:next w:val="1"/>
    <w:autoRedefine/>
    <w:qFormat/>
    <w:uiPriority w:val="39"/>
    <w:pPr>
      <w:ind w:left="840" w:leftChars="4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39"/>
  </w:style>
  <w:style w:type="paragraph" w:styleId="11">
    <w:name w:val="toc 2"/>
    <w:basedOn w:val="1"/>
    <w:next w:val="1"/>
    <w:autoRedefine/>
    <w:qFormat/>
    <w:uiPriority w:val="39"/>
    <w:pPr>
      <w:ind w:left="420" w:leftChars="200"/>
    </w:pPr>
  </w:style>
  <w:style w:type="paragraph" w:styleId="12">
    <w:name w:val="Body Text First Indent"/>
    <w:basedOn w:val="2"/>
    <w:autoRedefine/>
    <w:qFormat/>
    <w:uiPriority w:val="0"/>
    <w:pPr>
      <w:adjustRightInd/>
      <w:spacing w:after="0"/>
      <w:ind w:firstLine="200" w:firstLineChars="200"/>
      <w:textAlignment w:val="auto"/>
    </w:pPr>
    <w:rPr>
      <w:kern w:val="2"/>
    </w:rPr>
  </w:style>
  <w:style w:type="table" w:styleId="14">
    <w:name w:val="Table Grid"/>
    <w:basedOn w:val="13"/>
    <w:autoRedefine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列表段落1"/>
    <w:basedOn w:val="1"/>
    <w:autoRedefine/>
    <w:qFormat/>
    <w:uiPriority w:val="34"/>
    <w:pPr>
      <w:ind w:firstLine="420" w:firstLineChars="200"/>
    </w:pPr>
    <w:rPr>
      <w:rFonts w:eastAsia="黑体"/>
      <w:sz w:val="32"/>
    </w:rPr>
  </w:style>
  <w:style w:type="paragraph" w:customStyle="1" w:styleId="17">
    <w:name w:val="封面标题"/>
    <w:basedOn w:val="1"/>
    <w:autoRedefine/>
    <w:qFormat/>
    <w:uiPriority w:val="0"/>
    <w:pPr>
      <w:adjustRightInd/>
      <w:jc w:val="center"/>
      <w:textAlignment w:val="auto"/>
    </w:pPr>
    <w:rPr>
      <w:rFonts w:eastAsia="华文新魏"/>
      <w:kern w:val="2"/>
      <w:sz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1391</Words>
  <Characters>2035</Characters>
  <Lines>0</Lines>
  <Paragraphs>0</Paragraphs>
  <TotalTime>446</TotalTime>
  <ScaleCrop>false</ScaleCrop>
  <LinksUpToDate>false</LinksUpToDate>
  <CharactersWithSpaces>2132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2023-12-14T07:56:00Z</dcterms:created>
  <dc:creator>Healer</dc:creator>
  <cp:lastModifiedBy>Epoint</cp:lastModifiedBy>
  <dcterms:modified xsi:type="dcterms:W3CDTF">2026-07-23T12:26:28Z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66C8757F3E22416896A87C8528B40D23_13</vt:lpwstr>
  </property>
  <property fmtid="{D5CDD505-2E9C-101B-9397-08002B2CF9AE}" pid="4" name="KSOTemplateDocerSaveRecord">
    <vt:lpwstr>eyJoZGlkIjoiNzY4MGY2ODQ1M2ZiZTA2NTgyYzM5MWNhNWZhNzBlYWEiLCJ1c2VySWQiOiIxMDU0NDEwMTgwIn0=</vt:lpwstr>
  </property>
</Properties>
</file>